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F7" w:rsidRPr="002D2AF3" w:rsidRDefault="00432BF7" w:rsidP="002D2AF3">
      <w:pPr>
        <w:spacing w:before="0" w:line="240" w:lineRule="auto"/>
        <w:rPr>
          <w:rFonts w:asciiTheme="minorHAnsi" w:hAnsiTheme="minorHAnsi" w:cstheme="minorHAnsi"/>
          <w:sz w:val="16"/>
        </w:rPr>
      </w:pPr>
    </w:p>
    <w:tbl>
      <w:tblPr>
        <w:tblW w:w="10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85"/>
        <w:gridCol w:w="7566"/>
      </w:tblGrid>
      <w:tr w:rsidR="001D1146" w:rsidRPr="002D2AF3" w:rsidTr="002077A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1D1146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 w:rsidRPr="002D2AF3"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1D1146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 w:rsidRPr="002D2AF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BE3647" w:rsidP="00BE3647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>
              <w:t>TC/003530/2025</w:t>
            </w:r>
          </w:p>
        </w:tc>
      </w:tr>
      <w:tr w:rsidR="001D1146" w:rsidRPr="002D2AF3" w:rsidTr="002077A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1D1146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 w:rsidRPr="002D2AF3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1D1146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 w:rsidRPr="002D2AF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:rsidR="00781961" w:rsidRDefault="00781961" w:rsidP="00781961">
            <w:pPr>
              <w:tabs>
                <w:tab w:val="left" w:pos="8222"/>
              </w:tabs>
              <w:spacing w:before="120" w:line="240" w:lineRule="auto"/>
              <w:jc w:val="both"/>
              <w:rPr>
                <w:rFonts w:ascii="Calibri" w:hAnsi="Calibri" w:cs="Calibri"/>
                <w:i/>
              </w:rPr>
            </w:pPr>
            <w:r w:rsidRPr="009B0D6F">
              <w:rPr>
                <w:rFonts w:ascii="Calibri" w:hAnsi="Calibri" w:cs="Calibri"/>
              </w:rPr>
              <w:t>Contratação de solução corporativa de impressão, reprodução e digitalização de documentos (</w:t>
            </w:r>
            <w:r w:rsidRPr="009B0D6F">
              <w:rPr>
                <w:rFonts w:ascii="Calibri" w:hAnsi="Calibri" w:cs="Calibri"/>
                <w:i/>
              </w:rPr>
              <w:t>Outsourcing</w:t>
            </w:r>
            <w:r w:rsidRPr="009B0D6F">
              <w:rPr>
                <w:rFonts w:ascii="Calibri" w:hAnsi="Calibri" w:cs="Calibri"/>
              </w:rPr>
              <w:t xml:space="preserve"> de Impressão), com fornecimento de </w:t>
            </w:r>
            <w:r w:rsidRPr="009B0D6F">
              <w:rPr>
                <w:rFonts w:ascii="Calibri" w:hAnsi="Calibri" w:cs="Calibri"/>
                <w:i/>
              </w:rPr>
              <w:t>software</w:t>
            </w:r>
            <w:r w:rsidRPr="009B0D6F">
              <w:rPr>
                <w:rFonts w:ascii="Calibri" w:hAnsi="Calibri" w:cs="Calibri"/>
              </w:rPr>
              <w:t xml:space="preserve"> de gerenciamento via rede local (TCP/IP) e manutenção </w:t>
            </w:r>
            <w:proofErr w:type="spellStart"/>
            <w:r w:rsidRPr="009B0D6F">
              <w:rPr>
                <w:rFonts w:ascii="Calibri" w:hAnsi="Calibri" w:cs="Calibri"/>
                <w:i/>
              </w:rPr>
              <w:t>on</w:t>
            </w:r>
            <w:proofErr w:type="spellEnd"/>
            <w:r w:rsidRPr="009B0D6F">
              <w:rPr>
                <w:rFonts w:ascii="Calibri" w:hAnsi="Calibri" w:cs="Calibri"/>
                <w:i/>
              </w:rPr>
              <w:t xml:space="preserve"> site.</w:t>
            </w:r>
          </w:p>
          <w:p w:rsidR="00D1368D" w:rsidRPr="002D2AF3" w:rsidRDefault="00D1368D" w:rsidP="00781961">
            <w:pPr>
              <w:tabs>
                <w:tab w:val="left" w:pos="6503"/>
              </w:tabs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1D1146" w:rsidRPr="002D2AF3" w:rsidTr="002077A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1D1146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 w:rsidRPr="002D2AF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1D1146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 w:rsidRPr="002D2AF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2D2AF3" w:rsidRDefault="001D1146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  <w:r w:rsidRPr="002D2AF3">
              <w:rPr>
                <w:rFonts w:asciiTheme="minorHAnsi" w:hAnsiTheme="minorHAnsi" w:cstheme="minorHAnsi"/>
              </w:rPr>
              <w:t>TCMSP</w:t>
            </w:r>
          </w:p>
          <w:p w:rsidR="00FC1B80" w:rsidRPr="002D2AF3" w:rsidRDefault="00FC1B80" w:rsidP="002D2AF3">
            <w:pPr>
              <w:spacing w:before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A6C21" w:rsidRPr="002D2AF3" w:rsidRDefault="00AA6C21" w:rsidP="00432BF7">
      <w:pPr>
        <w:spacing w:before="120" w:after="120" w:line="23" w:lineRule="atLeast"/>
        <w:jc w:val="center"/>
        <w:rPr>
          <w:rFonts w:asciiTheme="minorHAnsi" w:hAnsiTheme="minorHAnsi" w:cstheme="minorHAnsi"/>
          <w:b/>
        </w:rPr>
      </w:pPr>
    </w:p>
    <w:p w:rsidR="001D1146" w:rsidRPr="002D2AF3" w:rsidRDefault="001D1146" w:rsidP="00432BF7">
      <w:pPr>
        <w:spacing w:before="120" w:after="120" w:line="23" w:lineRule="atLeast"/>
        <w:jc w:val="center"/>
        <w:rPr>
          <w:rFonts w:asciiTheme="minorHAnsi" w:hAnsiTheme="minorHAnsi" w:cstheme="minorHAnsi"/>
          <w:b/>
        </w:rPr>
      </w:pPr>
      <w:r w:rsidRPr="002D2AF3">
        <w:rPr>
          <w:rFonts w:asciiTheme="minorHAnsi" w:hAnsiTheme="minorHAnsi" w:cstheme="minorHAnsi"/>
          <w:b/>
        </w:rPr>
        <w:t xml:space="preserve">ATA DE </w:t>
      </w:r>
      <w:r w:rsidRPr="00900A6A">
        <w:rPr>
          <w:rFonts w:asciiTheme="minorHAnsi" w:hAnsiTheme="minorHAnsi" w:cstheme="minorHAnsi"/>
          <w:b/>
        </w:rPr>
        <w:t xml:space="preserve">REUNIÃO </w:t>
      </w:r>
      <w:r w:rsidR="00D1368D" w:rsidRPr="00900A6A">
        <w:rPr>
          <w:rFonts w:asciiTheme="minorHAnsi" w:hAnsiTheme="minorHAnsi" w:cstheme="minorHAnsi"/>
          <w:b/>
        </w:rPr>
        <w:t>N</w:t>
      </w:r>
      <w:r w:rsidRPr="00900A6A">
        <w:rPr>
          <w:rFonts w:asciiTheme="minorHAnsi" w:hAnsiTheme="minorHAnsi" w:cstheme="minorHAnsi"/>
          <w:b/>
        </w:rPr>
        <w:t xml:space="preserve">º </w:t>
      </w:r>
      <w:r w:rsidR="00900A6A" w:rsidRPr="00900A6A">
        <w:rPr>
          <w:rFonts w:asciiTheme="minorHAnsi" w:hAnsiTheme="minorHAnsi" w:cstheme="minorHAnsi"/>
          <w:b/>
        </w:rPr>
        <w:t>0</w:t>
      </w:r>
      <w:r w:rsidR="00781961">
        <w:rPr>
          <w:rFonts w:asciiTheme="minorHAnsi" w:hAnsiTheme="minorHAnsi" w:cstheme="minorHAnsi"/>
          <w:b/>
        </w:rPr>
        <w:t>50</w:t>
      </w:r>
      <w:r w:rsidR="00E62E58" w:rsidRPr="00900A6A">
        <w:rPr>
          <w:rFonts w:asciiTheme="minorHAnsi" w:hAnsiTheme="minorHAnsi" w:cstheme="minorHAnsi"/>
          <w:b/>
        </w:rPr>
        <w:t>/20</w:t>
      </w:r>
      <w:r w:rsidR="002D2AF3" w:rsidRPr="00900A6A">
        <w:rPr>
          <w:rFonts w:asciiTheme="minorHAnsi" w:hAnsiTheme="minorHAnsi" w:cstheme="minorHAnsi"/>
          <w:b/>
        </w:rPr>
        <w:t>2</w:t>
      </w:r>
      <w:r w:rsidR="00781961">
        <w:rPr>
          <w:rFonts w:asciiTheme="minorHAnsi" w:hAnsiTheme="minorHAnsi" w:cstheme="minorHAnsi"/>
          <w:b/>
        </w:rPr>
        <w:t>5</w:t>
      </w:r>
    </w:p>
    <w:p w:rsidR="00E473BE" w:rsidRPr="002D2AF3" w:rsidRDefault="00E473BE" w:rsidP="00432BF7">
      <w:pPr>
        <w:autoSpaceDE w:val="0"/>
        <w:autoSpaceDN w:val="0"/>
        <w:spacing w:before="120" w:after="120" w:line="23" w:lineRule="atLeast"/>
        <w:jc w:val="center"/>
        <w:rPr>
          <w:rFonts w:asciiTheme="minorHAnsi" w:eastAsia="Times New Roman" w:hAnsiTheme="minorHAnsi" w:cstheme="minorHAnsi"/>
          <w:b/>
        </w:rPr>
      </w:pPr>
      <w:r w:rsidRPr="002D2AF3">
        <w:rPr>
          <w:rFonts w:asciiTheme="minorHAnsi" w:eastAsia="Times New Roman" w:hAnsiTheme="minorHAnsi" w:cstheme="minorHAnsi"/>
          <w:b/>
        </w:rPr>
        <w:t>ANÁLISE DE IMPUGNAÇÃO</w:t>
      </w:r>
    </w:p>
    <w:p w:rsidR="00E473BE" w:rsidRPr="002D2AF3" w:rsidRDefault="00E473BE" w:rsidP="00432BF7">
      <w:pPr>
        <w:autoSpaceDE w:val="0"/>
        <w:autoSpaceDN w:val="0"/>
        <w:spacing w:before="120" w:after="120" w:line="23" w:lineRule="atLeast"/>
        <w:jc w:val="center"/>
        <w:rPr>
          <w:rFonts w:asciiTheme="minorHAnsi" w:eastAsia="Times New Roman" w:hAnsiTheme="minorHAnsi" w:cstheme="minorHAnsi"/>
          <w:b/>
        </w:rPr>
      </w:pPr>
    </w:p>
    <w:p w:rsidR="00E473BE" w:rsidRPr="002D2AF3" w:rsidRDefault="00E473BE" w:rsidP="006F6FB0">
      <w:pPr>
        <w:autoSpaceDE w:val="0"/>
        <w:autoSpaceDN w:val="0"/>
        <w:spacing w:before="120" w:after="120" w:line="23" w:lineRule="atLeast"/>
        <w:ind w:left="142"/>
        <w:jc w:val="center"/>
        <w:rPr>
          <w:rFonts w:asciiTheme="minorHAnsi" w:eastAsia="Times New Roman" w:hAnsiTheme="minorHAnsi" w:cstheme="minorHAnsi"/>
          <w:b/>
        </w:rPr>
      </w:pPr>
    </w:p>
    <w:p w:rsidR="00E473BE" w:rsidRPr="006F6FB0" w:rsidRDefault="00781961" w:rsidP="006F6FB0">
      <w:pPr>
        <w:spacing w:before="120" w:after="120" w:line="23" w:lineRule="atLeast"/>
        <w:ind w:left="142" w:firstLine="2126"/>
        <w:jc w:val="both"/>
        <w:rPr>
          <w:rFonts w:asciiTheme="minorHAnsi" w:eastAsia="Times New Roman" w:hAnsiTheme="minorHAnsi" w:cstheme="minorHAnsi"/>
        </w:rPr>
      </w:pPr>
      <w:r w:rsidRPr="006F6FB0">
        <w:rPr>
          <w:rFonts w:asciiTheme="minorHAnsi" w:hAnsiTheme="minorHAnsi" w:cstheme="minorHAnsi"/>
        </w:rPr>
        <w:t xml:space="preserve">No </w:t>
      </w:r>
      <w:r w:rsidRPr="009F7FAA">
        <w:rPr>
          <w:rFonts w:asciiTheme="minorHAnsi" w:hAnsiTheme="minorHAnsi" w:cstheme="minorHAnsi"/>
        </w:rPr>
        <w:t>décimo quarto dia do mês de julho de dois mil e vinte e cinco, às dezesseis</w:t>
      </w:r>
      <w:r w:rsidRPr="006F6FB0">
        <w:rPr>
          <w:rFonts w:asciiTheme="minorHAnsi" w:hAnsiTheme="minorHAnsi" w:cstheme="minorHAnsi"/>
        </w:rPr>
        <w:t xml:space="preserve"> horas, reuniram-se os membros da Comissão de Licitações nº 01, instituída pela Portaria 519/2022, a fim de analisar a impugnação ao Edital do Pregão Eletrônico nº90.009/2025, recebida por intermédio do e-mail josereis@amcinformatica.com.br da empresa AMC INFORMÁTICA LTDA</w:t>
      </w:r>
      <w:r w:rsidR="00AD0DCE" w:rsidRPr="006F6FB0">
        <w:rPr>
          <w:rFonts w:asciiTheme="minorHAnsi" w:hAnsiTheme="minorHAnsi" w:cstheme="minorHAnsi"/>
        </w:rPr>
        <w:t>.</w:t>
      </w:r>
      <w:r w:rsidRPr="006F6FB0">
        <w:rPr>
          <w:rFonts w:asciiTheme="minorHAnsi" w:hAnsiTheme="minorHAnsi" w:cstheme="minorHAnsi"/>
          <w:color w:val="000000"/>
        </w:rPr>
        <w:t xml:space="preserve">, inscrita no CNPJ sob o nº </w:t>
      </w:r>
      <w:r w:rsidRPr="006F6FB0">
        <w:rPr>
          <w:rFonts w:asciiTheme="minorHAnsi" w:hAnsiTheme="minorHAnsi" w:cstheme="minorHAnsi"/>
        </w:rPr>
        <w:t>62.541.735/0001-80.</w:t>
      </w:r>
    </w:p>
    <w:p w:rsidR="00083D6E" w:rsidRPr="002D2AF3" w:rsidRDefault="00083D6E" w:rsidP="00CF5792">
      <w:pPr>
        <w:spacing w:before="120" w:after="120" w:line="23" w:lineRule="atLeast"/>
        <w:jc w:val="both"/>
        <w:rPr>
          <w:rFonts w:asciiTheme="minorHAnsi" w:eastAsia="Times New Roman" w:hAnsiTheme="minorHAnsi" w:cstheme="minorHAnsi"/>
        </w:rPr>
      </w:pPr>
    </w:p>
    <w:p w:rsidR="00F24D20" w:rsidRPr="002D2AF3" w:rsidRDefault="00F24D20" w:rsidP="00CF5792">
      <w:pPr>
        <w:widowControl w:val="0"/>
        <w:spacing w:before="120" w:after="120" w:line="23" w:lineRule="atLeast"/>
        <w:rPr>
          <w:rFonts w:asciiTheme="minorHAnsi" w:hAnsiTheme="minorHAnsi" w:cstheme="minorHAnsi"/>
          <w:b/>
        </w:rPr>
      </w:pPr>
      <w:r w:rsidRPr="002D2AF3">
        <w:rPr>
          <w:rFonts w:asciiTheme="minorHAnsi" w:hAnsiTheme="minorHAnsi" w:cstheme="minorHAnsi"/>
          <w:b/>
        </w:rPr>
        <w:t>DA TEMPESTIVIDADE</w:t>
      </w:r>
    </w:p>
    <w:p w:rsidR="00432BF7" w:rsidRPr="002D2AF3" w:rsidRDefault="00432BF7" w:rsidP="00CF5792">
      <w:pPr>
        <w:spacing w:before="120" w:after="120" w:line="23" w:lineRule="atLeast"/>
        <w:jc w:val="both"/>
        <w:rPr>
          <w:rFonts w:asciiTheme="minorHAnsi" w:eastAsia="Times New Roman" w:hAnsiTheme="minorHAnsi" w:cstheme="minorHAnsi"/>
        </w:rPr>
      </w:pPr>
    </w:p>
    <w:p w:rsidR="00432BF7" w:rsidRPr="006F6FB0" w:rsidRDefault="00781961" w:rsidP="006F6FB0">
      <w:pPr>
        <w:spacing w:before="120" w:after="120" w:line="23" w:lineRule="atLeast"/>
        <w:ind w:left="142" w:firstLine="2126"/>
        <w:jc w:val="both"/>
        <w:rPr>
          <w:rFonts w:asciiTheme="minorHAnsi" w:hAnsiTheme="minorHAnsi" w:cstheme="minorHAnsi"/>
        </w:rPr>
      </w:pPr>
      <w:r w:rsidRPr="006F6FB0">
        <w:rPr>
          <w:rFonts w:asciiTheme="minorHAnsi" w:hAnsiTheme="minorHAnsi" w:cstheme="minorHAnsi"/>
        </w:rPr>
        <w:t>A impugnação ao Edital do Pregão Eletrônico nº 90009/2025-000 foi apresentada pela empresa AMC INFORMÁTICA LTDA</w:t>
      </w:r>
      <w:r w:rsidR="00AD0DCE" w:rsidRPr="006F6FB0">
        <w:rPr>
          <w:rFonts w:asciiTheme="minorHAnsi" w:hAnsiTheme="minorHAnsi" w:cstheme="minorHAnsi"/>
        </w:rPr>
        <w:t xml:space="preserve">. por </w:t>
      </w:r>
      <w:r w:rsidR="006F6FB0" w:rsidRPr="006F6FB0">
        <w:rPr>
          <w:rFonts w:asciiTheme="minorHAnsi" w:hAnsiTheme="minorHAnsi" w:cstheme="minorHAnsi"/>
        </w:rPr>
        <w:t>e-mail</w:t>
      </w:r>
      <w:r w:rsidR="00AD0DCE" w:rsidRPr="006F6FB0">
        <w:rPr>
          <w:rFonts w:asciiTheme="minorHAnsi" w:hAnsiTheme="minorHAnsi" w:cstheme="minorHAnsi"/>
        </w:rPr>
        <w:t xml:space="preserve"> </w:t>
      </w:r>
      <w:r w:rsidR="006F6FB0">
        <w:rPr>
          <w:rFonts w:asciiTheme="minorHAnsi" w:hAnsiTheme="minorHAnsi" w:cstheme="minorHAnsi"/>
        </w:rPr>
        <w:t>no dia</w:t>
      </w:r>
      <w:r w:rsidR="00AD0DCE" w:rsidRPr="006F6FB0">
        <w:rPr>
          <w:rFonts w:asciiTheme="minorHAnsi" w:hAnsiTheme="minorHAnsi" w:cstheme="minorHAnsi"/>
        </w:rPr>
        <w:t xml:space="preserve"> 09.</w:t>
      </w:r>
      <w:r w:rsidR="006F6FB0">
        <w:rPr>
          <w:rFonts w:asciiTheme="minorHAnsi" w:hAnsiTheme="minorHAnsi" w:cstheme="minorHAnsi"/>
        </w:rPr>
        <w:t>07</w:t>
      </w:r>
      <w:r w:rsidR="00AD0DCE" w:rsidRPr="006F6FB0">
        <w:rPr>
          <w:rFonts w:asciiTheme="minorHAnsi" w:hAnsiTheme="minorHAnsi" w:cstheme="minorHAnsi"/>
        </w:rPr>
        <w:t>.2025</w:t>
      </w:r>
      <w:r w:rsidRPr="006F6FB0">
        <w:rPr>
          <w:rFonts w:asciiTheme="minorHAnsi" w:hAnsiTheme="minorHAnsi" w:cstheme="minorHAnsi"/>
        </w:rPr>
        <w:t xml:space="preserve">. Conforme o item 16.1 do instrumento convocatório, qualquer pessoa pode impugnar os termos do edital em até 3 (três) dias úteis antes da data designada para a abertura da sessão pública. Considerando que a sessão está agendada para o dia 23 de julho de 2025, o protocolo da peça </w:t>
      </w:r>
      <w:r w:rsidR="006F6FB0" w:rsidRPr="006F6FB0">
        <w:rPr>
          <w:rFonts w:asciiTheme="minorHAnsi" w:hAnsiTheme="minorHAnsi" w:cstheme="minorHAnsi"/>
        </w:rPr>
        <w:t>revela-se</w:t>
      </w:r>
      <w:r w:rsidRPr="006F6FB0">
        <w:rPr>
          <w:rFonts w:asciiTheme="minorHAnsi" w:hAnsiTheme="minorHAnsi" w:cstheme="minorHAnsi"/>
        </w:rPr>
        <w:t xml:space="preserve"> tempestivo. </w:t>
      </w:r>
    </w:p>
    <w:p w:rsidR="006F6FB0" w:rsidRDefault="006F6FB0" w:rsidP="00CF5792">
      <w:pPr>
        <w:widowControl w:val="0"/>
        <w:spacing w:before="120" w:after="120" w:line="23" w:lineRule="atLeast"/>
        <w:rPr>
          <w:rFonts w:asciiTheme="minorHAnsi" w:hAnsiTheme="minorHAnsi" w:cstheme="minorHAnsi"/>
          <w:b/>
        </w:rPr>
      </w:pPr>
    </w:p>
    <w:p w:rsidR="00EA07F0" w:rsidRPr="002D2AF3" w:rsidRDefault="00EA07F0" w:rsidP="00CF5792">
      <w:pPr>
        <w:widowControl w:val="0"/>
        <w:spacing w:before="120" w:after="120" w:line="23" w:lineRule="atLeast"/>
        <w:rPr>
          <w:rFonts w:asciiTheme="minorHAnsi" w:hAnsiTheme="minorHAnsi" w:cstheme="minorHAnsi"/>
          <w:b/>
        </w:rPr>
      </w:pPr>
      <w:r w:rsidRPr="002D2AF3">
        <w:rPr>
          <w:rFonts w:asciiTheme="minorHAnsi" w:hAnsiTheme="minorHAnsi" w:cstheme="minorHAnsi"/>
          <w:b/>
        </w:rPr>
        <w:t>DOS FUNDAMENTOS DA IMPUGNAÇÃO</w:t>
      </w:r>
    </w:p>
    <w:p w:rsidR="006F6FB0" w:rsidRPr="006F6FB0" w:rsidRDefault="006F6FB0" w:rsidP="006F6FB0">
      <w:pPr>
        <w:spacing w:before="120" w:after="120" w:line="23" w:lineRule="atLeast"/>
        <w:ind w:left="142" w:firstLine="2126"/>
        <w:jc w:val="both"/>
        <w:rPr>
          <w:rFonts w:asciiTheme="minorHAnsi" w:hAnsiTheme="minorHAnsi" w:cstheme="minorHAnsi"/>
        </w:rPr>
      </w:pPr>
      <w:r w:rsidRPr="006F6FB0">
        <w:rPr>
          <w:rFonts w:asciiTheme="minorHAnsi" w:hAnsiTheme="minorHAnsi" w:cstheme="minorHAnsi"/>
        </w:rPr>
        <w:t>O presente certame tem como objeto a contratação de solução corporativa de impressão, reprodução e digitalização de documentos (Outsourcing de Impressão), incluindo o fornecimento de 72 (setenta e dois) equipamentos de impressão, software de gerenciamento via rede local (TCP/IP) e manutenção on-site para o Tribunal de Contas do Município de São Paulo (TCMSP).</w:t>
      </w:r>
    </w:p>
    <w:p w:rsidR="006F6FB0" w:rsidRPr="006F6FB0" w:rsidRDefault="006F6FB0" w:rsidP="006F6FB0">
      <w:pPr>
        <w:spacing w:before="120" w:after="120" w:line="23" w:lineRule="atLeast"/>
        <w:ind w:left="142" w:firstLine="2126"/>
        <w:jc w:val="both"/>
        <w:rPr>
          <w:rFonts w:asciiTheme="minorHAnsi" w:hAnsiTheme="minorHAnsi" w:cstheme="minorHAnsi"/>
        </w:rPr>
      </w:pPr>
      <w:r w:rsidRPr="006F6FB0">
        <w:rPr>
          <w:rFonts w:asciiTheme="minorHAnsi" w:hAnsiTheme="minorHAnsi" w:cstheme="minorHAnsi"/>
        </w:rPr>
        <w:t>O cerne da impugnação reside na exigência de que os equipamentos a serem disponibilizados pela futura contratada sejam obrigatoriamente "novos", "de primeiro uso" e "de última geração". A impugnante alega que tal restrição está expressamente consignada em múltiplos pontos dos anexos do Edital, notadamente:</w:t>
      </w:r>
    </w:p>
    <w:p w:rsidR="006F6FB0" w:rsidRPr="008106F9" w:rsidRDefault="006F6FB0" w:rsidP="008106F9">
      <w:pPr>
        <w:pStyle w:val="PargrafodaLista"/>
        <w:numPr>
          <w:ilvl w:val="0"/>
          <w:numId w:val="5"/>
        </w:numPr>
        <w:spacing w:before="120" w:after="120" w:line="23" w:lineRule="atLeast"/>
        <w:ind w:left="2268" w:hanging="218"/>
        <w:jc w:val="both"/>
        <w:rPr>
          <w:rFonts w:asciiTheme="minorHAnsi" w:eastAsiaTheme="minorEastAsia" w:hAnsiTheme="minorHAnsi" w:cstheme="minorHAnsi"/>
          <w:sz w:val="24"/>
        </w:rPr>
      </w:pPr>
      <w:r w:rsidRPr="008106F9">
        <w:rPr>
          <w:rFonts w:asciiTheme="minorHAnsi" w:eastAsiaTheme="minorEastAsia" w:hAnsiTheme="minorHAnsi" w:cstheme="minorHAnsi"/>
          <w:sz w:val="24"/>
        </w:rPr>
        <w:lastRenderedPageBreak/>
        <w:t>Termo de Referência (Anexo I), Seção 3 - DESCRIÇÃO DA SOLUÇÃO: "Equipamentos de última geração, novos e sem uso, devidamente instalados" e "A prestação do serviço deverá incluir o fornecimento de equipamentos novos, de primeiro uso, disponibilizados em sistema de comodato".</w:t>
      </w:r>
    </w:p>
    <w:p w:rsidR="006F6FB0" w:rsidRPr="008106F9" w:rsidRDefault="006F6FB0" w:rsidP="008106F9">
      <w:pPr>
        <w:pStyle w:val="PargrafodaLista"/>
        <w:numPr>
          <w:ilvl w:val="0"/>
          <w:numId w:val="5"/>
        </w:numPr>
        <w:spacing w:before="120" w:after="120" w:line="23" w:lineRule="atLeast"/>
        <w:ind w:left="2268" w:hanging="218"/>
        <w:jc w:val="both"/>
        <w:rPr>
          <w:rFonts w:asciiTheme="minorHAnsi" w:eastAsiaTheme="minorEastAsia" w:hAnsiTheme="minorHAnsi" w:cstheme="minorHAnsi"/>
          <w:sz w:val="24"/>
        </w:rPr>
      </w:pPr>
      <w:r w:rsidRPr="008106F9">
        <w:rPr>
          <w:rFonts w:asciiTheme="minorHAnsi" w:eastAsiaTheme="minorEastAsia" w:hAnsiTheme="minorHAnsi" w:cstheme="minorHAnsi"/>
          <w:sz w:val="24"/>
        </w:rPr>
        <w:t>Termo de Referência (Anexo I), Seção 3.1 EQUIPAMENTOS: "Deverão ser fornecidos 72 (setenta e dois) equipamentos, novos e sem uso, em até 45 (quarenta e cinco) dias corridos...".</w:t>
      </w:r>
    </w:p>
    <w:p w:rsidR="006F6FB0" w:rsidRPr="008106F9" w:rsidRDefault="006F6FB0" w:rsidP="008106F9">
      <w:pPr>
        <w:pStyle w:val="PargrafodaLista"/>
        <w:numPr>
          <w:ilvl w:val="0"/>
          <w:numId w:val="5"/>
        </w:numPr>
        <w:spacing w:before="120" w:after="120" w:line="23" w:lineRule="atLeast"/>
        <w:ind w:left="2268" w:hanging="218"/>
        <w:jc w:val="both"/>
        <w:rPr>
          <w:rFonts w:asciiTheme="minorHAnsi" w:eastAsiaTheme="minorEastAsia" w:hAnsiTheme="minorHAnsi" w:cstheme="minorHAnsi"/>
          <w:sz w:val="24"/>
        </w:rPr>
      </w:pPr>
      <w:r w:rsidRPr="008106F9">
        <w:rPr>
          <w:rFonts w:asciiTheme="minorHAnsi" w:eastAsiaTheme="minorEastAsia" w:hAnsiTheme="minorHAnsi" w:cstheme="minorHAnsi"/>
          <w:sz w:val="24"/>
        </w:rPr>
        <w:t>Minuta de Contrato (Anexo V), Cláusula 7.6: "Fornecer equipamentos de impressão, de primeiro uso e em perfeitas condições de funcionamento...".</w:t>
      </w:r>
    </w:p>
    <w:p w:rsidR="006F6FB0" w:rsidRDefault="006F6FB0" w:rsidP="006F6FB0">
      <w:pPr>
        <w:spacing w:before="120" w:after="120" w:line="23" w:lineRule="atLeast"/>
        <w:ind w:left="142" w:firstLine="2126"/>
        <w:jc w:val="both"/>
        <w:rPr>
          <w:rFonts w:asciiTheme="minorHAnsi" w:hAnsiTheme="minorHAnsi" w:cstheme="minorHAnsi"/>
        </w:rPr>
      </w:pPr>
    </w:p>
    <w:p w:rsidR="006F6FB0" w:rsidRPr="006F6FB0" w:rsidRDefault="006F6FB0" w:rsidP="006F6FB0">
      <w:pPr>
        <w:spacing w:before="120" w:after="120" w:line="23" w:lineRule="atLeast"/>
        <w:ind w:left="142" w:firstLine="2126"/>
        <w:jc w:val="both"/>
        <w:rPr>
          <w:rFonts w:asciiTheme="minorHAnsi" w:hAnsiTheme="minorHAnsi" w:cstheme="minorHAnsi"/>
        </w:rPr>
      </w:pPr>
      <w:r w:rsidRPr="006F6FB0">
        <w:rPr>
          <w:rFonts w:asciiTheme="minorHAnsi" w:hAnsiTheme="minorHAnsi" w:cstheme="minorHAnsi"/>
        </w:rPr>
        <w:t>A impugnante argumenta que essa exigência constitui uma barreira artificial e indevida à livre concorrência, ofendendo frontalmente os princípios da competitividade, da economicidade, da razoabilidade e do desenvolvimento nacional sustentável, todos pilares da Lei nº 14.133/2021. Afirma ainda que a restrição é imposta sem justificativa técnica ou de interesse público, configurando um ato administrativo viciado em sua motivação.</w:t>
      </w:r>
    </w:p>
    <w:p w:rsidR="007118C3" w:rsidRPr="006F6FB0" w:rsidRDefault="007118C3" w:rsidP="006F6FB0">
      <w:pPr>
        <w:spacing w:before="120" w:after="120" w:line="23" w:lineRule="atLeast"/>
        <w:ind w:left="142" w:firstLine="2126"/>
        <w:jc w:val="both"/>
        <w:rPr>
          <w:rFonts w:asciiTheme="minorHAnsi" w:hAnsiTheme="minorHAnsi" w:cstheme="minorHAnsi"/>
        </w:rPr>
      </w:pPr>
    </w:p>
    <w:p w:rsidR="00E473BE" w:rsidRPr="007E76FE" w:rsidRDefault="008B1A0E" w:rsidP="009A28B6">
      <w:pPr>
        <w:spacing w:before="120" w:after="120" w:line="23" w:lineRule="atLeast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7E76FE">
        <w:rPr>
          <w:rFonts w:asciiTheme="minorHAnsi" w:eastAsia="Times New Roman" w:hAnsiTheme="minorHAnsi" w:cstheme="minorHAnsi"/>
          <w:b/>
          <w:color w:val="000000"/>
        </w:rPr>
        <w:t xml:space="preserve">DA </w:t>
      </w:r>
      <w:r w:rsidR="00083D6E" w:rsidRPr="007E76FE">
        <w:rPr>
          <w:rFonts w:asciiTheme="minorHAnsi" w:eastAsia="Times New Roman" w:hAnsiTheme="minorHAnsi" w:cstheme="minorHAnsi"/>
          <w:b/>
          <w:color w:val="000000"/>
        </w:rPr>
        <w:t xml:space="preserve">ANÁLISE </w:t>
      </w:r>
      <w:r w:rsidRPr="007E76FE">
        <w:rPr>
          <w:rFonts w:asciiTheme="minorHAnsi" w:eastAsia="Times New Roman" w:hAnsiTheme="minorHAnsi" w:cstheme="minorHAnsi"/>
          <w:b/>
          <w:color w:val="000000"/>
        </w:rPr>
        <w:t xml:space="preserve">TÉCNICA </w:t>
      </w:r>
      <w:r w:rsidR="00083D6E" w:rsidRPr="007E76FE">
        <w:rPr>
          <w:rFonts w:asciiTheme="minorHAnsi" w:eastAsia="Times New Roman" w:hAnsiTheme="minorHAnsi" w:cstheme="minorHAnsi"/>
          <w:b/>
          <w:color w:val="000000"/>
        </w:rPr>
        <w:t>DA IMPUGNAÇÃO</w:t>
      </w:r>
    </w:p>
    <w:p w:rsidR="007E76FE" w:rsidRDefault="007E76FE" w:rsidP="00F321B7">
      <w:pPr>
        <w:spacing w:before="120" w:after="120" w:line="23" w:lineRule="atLeast"/>
        <w:ind w:firstLine="2835"/>
        <w:jc w:val="both"/>
        <w:rPr>
          <w:rFonts w:asciiTheme="minorHAnsi" w:eastAsia="Times New Roman" w:hAnsiTheme="minorHAnsi" w:cstheme="minorHAnsi"/>
          <w:lang w:eastAsia="en-US"/>
        </w:rPr>
      </w:pP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Em atenção à impugnação apresentada, concernente à vedação da oferta de equipamentos usados no âmbito do edital, cumpre-nos esclarecer e justificar, de forma técnica e jurídica, a </w:t>
      </w:r>
      <w:r w:rsidRPr="003D336D">
        <w:rPr>
          <w:rFonts w:asciiTheme="minorHAnsi" w:hAnsiTheme="minorHAnsi" w:cstheme="minorHAnsi"/>
          <w:b/>
          <w:bCs/>
        </w:rPr>
        <w:t>manutenção da exigência de fornecimento de equipamentos novos</w:t>
      </w:r>
      <w:r w:rsidRPr="003D336D">
        <w:rPr>
          <w:rFonts w:asciiTheme="minorHAnsi" w:hAnsiTheme="minorHAnsi" w:cstheme="minorHAnsi"/>
        </w:rPr>
        <w:t>, pelas razões que se seguem:</w:t>
      </w:r>
    </w:p>
    <w:p w:rsidR="003D336D" w:rsidRPr="003D336D" w:rsidRDefault="003D336D" w:rsidP="003D336D">
      <w:pPr>
        <w:jc w:val="both"/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>1. Legitimidade da Exigência – Interesse Público e a Discricionariedade Administrativa, desde que motivada.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Nos termos do art. 11, inciso I, da Lei nº 14.133/2021, a Administração Pública busca por meio do processo licitatório assegurar a seleção da proposta apta a gerar o resultado de contratação mais vantajoso, inclusive no que se refere ao ciclo de vida do objeto.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Ou seja, a proposta de melhor valor para a Administração não é necessariamente a que apresenta o menor preço absoluto. 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Nesse sentido, em linha de outras contratações similares, inclusive, em acordo com a Portaria SGD/MGI nº 370, que instituiu o Modelo de Contratação de Serviços de Outsourcing de Impressão, no âmbito dos órgãos e das entidades integrantes do Sistema de Administração dos Recursos de Tecnologia </w:t>
      </w:r>
      <w:r w:rsidRPr="003D336D">
        <w:rPr>
          <w:rFonts w:asciiTheme="minorHAnsi" w:hAnsiTheme="minorHAnsi" w:cstheme="minorHAnsi"/>
        </w:rPr>
        <w:lastRenderedPageBreak/>
        <w:t xml:space="preserve">da Informação - SISP do Poder Executivo Federal, uma vez que a previsão da duração contratual é de 60 meses, este Tribunal optou por equipamentos novos, conforme argumentos que serão expostos. 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Ademais, é imperioso ressaltar que a Administração Pública possui discricionariedade para definir, de forma motivada, as exigências técnicas necessárias à plena execução do objeto licitado. Assim, a vedação à oferta de equipamentos usados encontra-se devidamente motivada por razões de ordem técnica, operacional, de segurança e eficiência contratual, visando garantir a prestação adequada e contínua dos serviços demandados.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  <w:i/>
        </w:rPr>
      </w:pPr>
      <w:r w:rsidRPr="003D336D">
        <w:rPr>
          <w:rFonts w:asciiTheme="minorHAnsi" w:hAnsiTheme="minorHAnsi" w:cstheme="minorHAnsi"/>
          <w:i/>
        </w:rPr>
        <w:t>Lei 14.133/2021</w:t>
      </w:r>
    </w:p>
    <w:p w:rsidR="003D336D" w:rsidRPr="003D336D" w:rsidRDefault="003D336D" w:rsidP="003D336D">
      <w:pPr>
        <w:ind w:left="2268"/>
        <w:jc w:val="both"/>
        <w:rPr>
          <w:rFonts w:asciiTheme="minorHAnsi" w:hAnsiTheme="minorHAnsi" w:cstheme="minorHAnsi"/>
          <w:i/>
        </w:rPr>
      </w:pPr>
      <w:r w:rsidRPr="003D336D">
        <w:rPr>
          <w:rFonts w:asciiTheme="minorHAnsi" w:hAnsiTheme="minorHAnsi" w:cstheme="minorHAnsi"/>
          <w:i/>
        </w:rPr>
        <w:t>Art. 11.</w:t>
      </w:r>
      <w:r w:rsidRPr="003D336D">
        <w:rPr>
          <w:rFonts w:asciiTheme="minorHAnsi" w:hAnsiTheme="minorHAnsi" w:cstheme="minorHAnsi"/>
          <w:b/>
          <w:bCs/>
          <w:i/>
        </w:rPr>
        <w:t> </w:t>
      </w:r>
      <w:r w:rsidRPr="003D336D">
        <w:rPr>
          <w:rFonts w:asciiTheme="minorHAnsi" w:hAnsiTheme="minorHAnsi" w:cstheme="minorHAnsi"/>
          <w:i/>
        </w:rPr>
        <w:t>O processo licitatório tem por objetivos:</w:t>
      </w:r>
    </w:p>
    <w:p w:rsidR="003D336D" w:rsidRPr="003D336D" w:rsidRDefault="003D336D" w:rsidP="003D336D">
      <w:pPr>
        <w:ind w:left="2268"/>
        <w:jc w:val="both"/>
        <w:rPr>
          <w:rFonts w:asciiTheme="minorHAnsi" w:hAnsiTheme="minorHAnsi" w:cstheme="minorHAnsi"/>
          <w:i/>
        </w:rPr>
      </w:pPr>
      <w:bookmarkStart w:id="1" w:name="art11i"/>
      <w:bookmarkEnd w:id="1"/>
      <w:r w:rsidRPr="003D336D">
        <w:rPr>
          <w:rFonts w:asciiTheme="minorHAnsi" w:hAnsiTheme="minorHAnsi" w:cstheme="minorHAnsi"/>
          <w:i/>
        </w:rPr>
        <w:t xml:space="preserve">I - </w:t>
      </w:r>
      <w:proofErr w:type="gramStart"/>
      <w:r w:rsidRPr="003D336D">
        <w:rPr>
          <w:rFonts w:asciiTheme="minorHAnsi" w:hAnsiTheme="minorHAnsi" w:cstheme="minorHAnsi"/>
          <w:i/>
        </w:rPr>
        <w:t>assegurar</w:t>
      </w:r>
      <w:proofErr w:type="gramEnd"/>
      <w:r w:rsidRPr="003D336D">
        <w:rPr>
          <w:rFonts w:asciiTheme="minorHAnsi" w:hAnsiTheme="minorHAnsi" w:cstheme="minorHAnsi"/>
          <w:i/>
        </w:rPr>
        <w:t xml:space="preserve"> a seleção da proposta apta a gerar o resultado de contratação mais vantajoso para a Administração Pública, Inclusive no que se refere ao ciclo de vida do objeto;</w:t>
      </w:r>
    </w:p>
    <w:p w:rsidR="003D336D" w:rsidRPr="003D336D" w:rsidRDefault="003D336D" w:rsidP="003D336D">
      <w:pPr>
        <w:pStyle w:val="PargrafodaLista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>Riscos Operacionais e Técnicos Associados a Equipamentos Usados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Mesmo após revisão técnica, equipamentos usados podem conter componentes com alto grau de desgaste, cuja falha compromete severamente a operação e a continuidade do serviço. Destacamos, entre os riscos técnicos mais comuns:</w:t>
      </w:r>
    </w:p>
    <w:p w:rsidR="003D336D" w:rsidRPr="003D336D" w:rsidRDefault="003D336D" w:rsidP="003D336D">
      <w:pPr>
        <w:numPr>
          <w:ilvl w:val="0"/>
          <w:numId w:val="7"/>
        </w:numPr>
        <w:spacing w:before="0" w:after="160" w:line="276" w:lineRule="auto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  <w:b/>
          <w:bCs/>
        </w:rPr>
        <w:t>Discos rígidos (HDs)</w:t>
      </w:r>
      <w:r w:rsidRPr="003D336D">
        <w:rPr>
          <w:rFonts w:asciiTheme="minorHAnsi" w:hAnsiTheme="minorHAnsi" w:cstheme="minorHAnsi"/>
        </w:rPr>
        <w:t>: possuem componentes mecânicos sujeitos a falhas após ciclos prolongados de uso;</w:t>
      </w:r>
    </w:p>
    <w:p w:rsidR="003D336D" w:rsidRPr="003D336D" w:rsidRDefault="003D336D" w:rsidP="003D336D">
      <w:pPr>
        <w:numPr>
          <w:ilvl w:val="0"/>
          <w:numId w:val="7"/>
        </w:numPr>
        <w:spacing w:before="0" w:after="160" w:line="276" w:lineRule="auto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  <w:b/>
          <w:bCs/>
        </w:rPr>
        <w:t>Memórias</w:t>
      </w:r>
      <w:r w:rsidRPr="003D336D">
        <w:rPr>
          <w:rFonts w:asciiTheme="minorHAnsi" w:hAnsiTheme="minorHAnsi" w:cstheme="minorHAnsi"/>
        </w:rPr>
        <w:t>: sujeitas a oxidação e falhas intermitentes após uso intensivo;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Tais falhas geram interrupções, perdas de dados, custos com suporte e riscos à continuidade operacional, especialmente em ambientes críticos. 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Considerando o caso concreto, o TCMSP possui atualmente mais de 700 servidores, com 72 equipamentos em uso, mais de 60 setores. A interrupção poderá atrapalhar os trabalhos administrativos, as atividades de fiscalização, a instrução processual, dentre outros. 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lastRenderedPageBreak/>
        <w:t xml:space="preserve">Assim, o uso de equipamentos e consumíveis usados / </w:t>
      </w:r>
      <w:proofErr w:type="spellStart"/>
      <w:r w:rsidRPr="003D336D">
        <w:rPr>
          <w:rFonts w:asciiTheme="minorHAnsi" w:hAnsiTheme="minorHAnsi" w:cstheme="minorHAnsi"/>
        </w:rPr>
        <w:t>remanufaturados</w:t>
      </w:r>
      <w:proofErr w:type="spellEnd"/>
      <w:r w:rsidRPr="003D336D">
        <w:rPr>
          <w:rFonts w:asciiTheme="minorHAnsi" w:hAnsiTheme="minorHAnsi" w:cstheme="minorHAnsi"/>
        </w:rPr>
        <w:t xml:space="preserve"> oferecem potencial redução na qualidade de impressão e menor produção, de modo a impactar diretamente nas atividades realizadas pelo Tribunal de Contas do Município de São Paulo.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A questão do uso de equipamentos e componentes remanufaturas não é nova na Administração Pública. Nesse sentido, cita-se o entendimento do TRF1</w:t>
      </w:r>
      <w:r w:rsidRPr="003D336D">
        <w:rPr>
          <w:rStyle w:val="Refdenotaderodap"/>
          <w:rFonts w:asciiTheme="minorHAnsi" w:hAnsiTheme="minorHAnsi" w:cstheme="minorHAnsi"/>
        </w:rPr>
        <w:footnoteReference w:id="1"/>
      </w:r>
      <w:r w:rsidRPr="003D336D">
        <w:rPr>
          <w:rFonts w:asciiTheme="minorHAnsi" w:hAnsiTheme="minorHAnsi" w:cstheme="minorHAnsi"/>
        </w:rPr>
        <w:t>, Processo nº 63595420124013500, de 2013, que entendeu que a “</w:t>
      </w:r>
      <w:r w:rsidRPr="003D336D">
        <w:rPr>
          <w:rFonts w:asciiTheme="minorHAnsi" w:hAnsiTheme="minorHAnsi" w:cstheme="minorHAnsi"/>
          <w:i/>
        </w:rPr>
        <w:t xml:space="preserve">União não é obrigada a usar cartuchos de impressoras </w:t>
      </w:r>
      <w:proofErr w:type="spellStart"/>
      <w:r w:rsidRPr="003D336D">
        <w:rPr>
          <w:rFonts w:asciiTheme="minorHAnsi" w:hAnsiTheme="minorHAnsi" w:cstheme="minorHAnsi"/>
          <w:i/>
        </w:rPr>
        <w:t>remanufaturados</w:t>
      </w:r>
      <w:proofErr w:type="spellEnd"/>
      <w:r w:rsidRPr="003D336D">
        <w:rPr>
          <w:rFonts w:asciiTheme="minorHAnsi" w:hAnsiTheme="minorHAnsi" w:cstheme="minorHAnsi"/>
        </w:rPr>
        <w:t>”, ao concluir que a “</w:t>
      </w:r>
      <w:r w:rsidRPr="003D336D">
        <w:rPr>
          <w:rFonts w:asciiTheme="minorHAnsi" w:hAnsiTheme="minorHAnsi" w:cstheme="minorHAnsi"/>
          <w:i/>
        </w:rPr>
        <w:t>Administração não pode ser obrigada a licitar a compra de determinado produto que não lhe será útil, sendo certo que tal critério se insere dentro do poder discricionário administrativo, de acordo com a oportunidade e conveniência da Administração</w:t>
      </w:r>
      <w:r w:rsidRPr="003D336D">
        <w:rPr>
          <w:rFonts w:asciiTheme="minorHAnsi" w:hAnsiTheme="minorHAnsi" w:cstheme="minorHAnsi"/>
        </w:rPr>
        <w:t>”.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Ou seja, diferente do alegado pela Impugnante, não há obrigatoriedade da administração de contratar produtos </w:t>
      </w:r>
      <w:proofErr w:type="spellStart"/>
      <w:r w:rsidRPr="003D336D">
        <w:rPr>
          <w:rFonts w:asciiTheme="minorHAnsi" w:hAnsiTheme="minorHAnsi" w:cstheme="minorHAnsi"/>
        </w:rPr>
        <w:t>remanufaturados</w:t>
      </w:r>
      <w:proofErr w:type="spellEnd"/>
      <w:r w:rsidRPr="003D336D">
        <w:rPr>
          <w:rFonts w:asciiTheme="minorHAnsi" w:hAnsiTheme="minorHAnsi" w:cstheme="minorHAnsi"/>
        </w:rPr>
        <w:t>.</w:t>
      </w:r>
    </w:p>
    <w:p w:rsidR="003D336D" w:rsidRPr="003D336D" w:rsidRDefault="003D336D" w:rsidP="003D336D">
      <w:pPr>
        <w:pStyle w:val="PargrafodaLista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 xml:space="preserve"> Atualização Tecnológica e Obsolescência de Equipamentos Usados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A evolução constante dos sistemas operacionais e softwares de produtividade exige compatibilidade com hardware recente, o que geralmente não é possível com equipamentos obsoletos ou com arquitetura ultrapassada, mesmo que tenham seus componentes trocados. 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Ademais, a exigência da entrega de equipamentos novos procura trazer ao TCMSP o uso das tecnologias mais atuais, em acordo com o mercado de TIC. Cita-se, por exemplo, o Relatório Setorial 2023 </w:t>
      </w:r>
      <w:proofErr w:type="spellStart"/>
      <w:r w:rsidRPr="003D336D">
        <w:rPr>
          <w:rFonts w:asciiTheme="minorHAnsi" w:hAnsiTheme="minorHAnsi" w:cstheme="minorHAnsi"/>
        </w:rPr>
        <w:t>Macrossetor</w:t>
      </w:r>
      <w:proofErr w:type="spellEnd"/>
      <w:r w:rsidRPr="003D336D">
        <w:rPr>
          <w:rFonts w:asciiTheme="minorHAnsi" w:hAnsiTheme="minorHAnsi" w:cstheme="minorHAnsi"/>
        </w:rPr>
        <w:t xml:space="preserve"> de TIC, elaborado pela </w:t>
      </w:r>
      <w:proofErr w:type="spellStart"/>
      <w:r w:rsidRPr="003D336D">
        <w:rPr>
          <w:rFonts w:asciiTheme="minorHAnsi" w:hAnsiTheme="minorHAnsi" w:cstheme="minorHAnsi"/>
        </w:rPr>
        <w:t>Brasscom</w:t>
      </w:r>
      <w:proofErr w:type="spellEnd"/>
      <w:r w:rsidRPr="003D336D">
        <w:rPr>
          <w:rStyle w:val="Refdenotaderodap"/>
          <w:rFonts w:asciiTheme="minorHAnsi" w:hAnsiTheme="minorHAnsi" w:cstheme="minorHAnsi"/>
        </w:rPr>
        <w:footnoteReference w:id="2"/>
      </w:r>
      <w:r w:rsidRPr="003D336D">
        <w:rPr>
          <w:rFonts w:asciiTheme="minorHAnsi" w:hAnsiTheme="minorHAnsi" w:cstheme="minorHAnsi"/>
        </w:rPr>
        <w:t xml:space="preserve">, que apontou 04 grandes eixos como tendências de crescimento para o mercado de tecnologia: Nuvem, Software, Inteligência Artificial e Segurança. </w:t>
      </w:r>
      <w:r w:rsidRPr="003D336D">
        <w:rPr>
          <w:rFonts w:asciiTheme="minorHAnsi" w:hAnsiTheme="minorHAnsi" w:cstheme="minorHAnsi"/>
        </w:rPr>
        <w:br/>
      </w:r>
      <w:r w:rsidRPr="003D336D">
        <w:rPr>
          <w:rFonts w:asciiTheme="minorHAnsi" w:hAnsiTheme="minorHAnsi" w:cstheme="minorHAnsi"/>
        </w:rPr>
        <w:br/>
        <w:t xml:space="preserve">Ademais, cita-se alguns aspectos técnicos de </w:t>
      </w:r>
      <w:proofErr w:type="spellStart"/>
      <w:r w:rsidRPr="003D336D">
        <w:rPr>
          <w:rFonts w:asciiTheme="minorHAnsi" w:hAnsiTheme="minorHAnsi" w:cstheme="minorHAnsi"/>
        </w:rPr>
        <w:t>Vantajosidade</w:t>
      </w:r>
      <w:proofErr w:type="spellEnd"/>
      <w:r w:rsidRPr="003D336D">
        <w:rPr>
          <w:rFonts w:asciiTheme="minorHAnsi" w:hAnsiTheme="minorHAnsi" w:cstheme="minorHAnsi"/>
        </w:rPr>
        <w:t xml:space="preserve"> de Equipamentos Novos: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lastRenderedPageBreak/>
        <w:t>b.1.   Tempo Médio Entre Falhas (MTBF): Equipamentos novos apresentam MTBF superior, reduzindo a frequência de falhas e chamados técnicos, o que é essencial para garantir a continuidade dos serviços administrativos.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b.2.  Eficiência Energética: Modelos novos possuem certificações como ENERGY STAR, EPEAT e Blue Angel, que atestam menor consumo de energia e menor emissão de partículas, reduzindo custos operacionais e impacto ambiental.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b.3.  Segurança da Informação: Equipamentos novos incluem recursos como criptografia de dados, autenticação por cartão e firmware assinado digitalmente, fundamentais para órgãos públicos, como o TCMSP, que lidam com dados sensíveis.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b.4. Suporte e Garantia do Fabricante: Equipamentos novos contam com suporte oficial e peças de reposição disponíveis, o que é essencial para contratos de longa duração.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</w:p>
    <w:p w:rsidR="003D336D" w:rsidRPr="003D336D" w:rsidRDefault="003D336D" w:rsidP="003D336D">
      <w:pPr>
        <w:pStyle w:val="PargrafodaLista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>Segurança da Informação e Vulnerabilidades em Equipamentos Antigos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Equipamentos usados podem não suportar versões atuais de sistemas operacionais, apresentando falhas de segurança conhecidas e não corrigíveis. Isso configura risco institucional à segurança da informação, incompatível com os princípios da Administração Pública e com a boa governança tecnológica.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Ademais, o TCMSP costuma trabalhar com dados pessoais e com impressoras ligadas na rede, de modo que em acordo com a Lei 13.709/2018, Lei Geral de Proteção de Dados Pessoais (LGPD), a política de segurança e gestão para proteger informações pessoais impressas exige a proteção do acesso aos dados por terceiros.</w:t>
      </w:r>
    </w:p>
    <w:p w:rsidR="003D336D" w:rsidRPr="003D336D" w:rsidRDefault="003D336D" w:rsidP="003D336D">
      <w:pPr>
        <w:pStyle w:val="PargrafodaLista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 xml:space="preserve"> Custo Oculto e a Possibilidade de Alta Frequência de Manutenções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Embora o custo inicial de outsourcing de equipamentos usados possa parecer inferior ao de outsourcing de equipamentos novos, sua adoção possui a tendência em resultar em uma maior incidência de falhas, trocas e suporte corretivo, além do impacto negativo na produtividade do usuário final. Assim, </w:t>
      </w:r>
      <w:r w:rsidRPr="003D336D">
        <w:rPr>
          <w:rFonts w:asciiTheme="minorHAnsi" w:hAnsiTheme="minorHAnsi" w:cstheme="minorHAnsi"/>
        </w:rPr>
        <w:lastRenderedPageBreak/>
        <w:t>o aparente benefício financeiro inicial pode se converter, na prática, em maior custo global, com baixa relação custo-benefício e recorrentes interrupções nas atividades de controle externo.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Ainda que exista a previsão de agressivo SLA no Termo de Referência e que a responsabilidade de manter o parque ativo seja da contratada, é sabido que na prática, qualquer parada de equipamento impacta nas atividades administrativas e gera atividades para o setor de Suporte do Núcleo de Tecnologia da Informação. 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Por isso, este NTI solicitou um SLA que busque garantir que a futura contratada promova uma manutenção preventiva, de modo a reduzir a incidência de manutenções corretivas, causando o menor impacto possível aos usuários.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Contudo, permitir a entrega de equipamentos com uso pretérito, ainda que revisados, aumenta a possibilidade de falhas devido aos desgastes próprios do tempo, o que, por consequência, poderá aumentar consideravelmente o número de chamados para manutenção, o tempo de inatividade do equipamento, e o gasto com os servidores do Suporte do NTI para acompanhar a resolução de tais questões.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Ademais, considerando o prazo contratual almejado, 60 meses, e a possibilidade de prorrogação contratual até o limite permitido pela Lei nº 14.133/2021, é razoável dizer que os equipamentos precisarão ser trocados, tendo em vista, que não é usual as fabricantes de equipamentos de impressão produzirem peças por tanto tempo para realização de troca e manutenção.  </w:t>
      </w:r>
    </w:p>
    <w:p w:rsidR="003D336D" w:rsidRPr="003D336D" w:rsidRDefault="003D336D" w:rsidP="003D336D">
      <w:pPr>
        <w:pStyle w:val="PargrafodaLista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>Da competitividade e outras contratações similares;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Ora, não é razoável o argumento da impugnante quanto a restrição da competitiva do certame, tendo em vista a grande gama de fornecedores disponíveis no segmento de outsourcing de impressão corporativa que atendem plenamente a descrição dos equipamentos e exigências constantes em edital, isso demonstrado nos processos anteriores realizados pelo Tribunal de Contas do Município, bem como por licitações realizadas por outros órgãos, como é o caso, por exemplo: 1) Pregão Eletrônico </w:t>
      </w:r>
      <w:r w:rsidRPr="003D336D">
        <w:rPr>
          <w:rFonts w:asciiTheme="minorHAnsi" w:hAnsiTheme="minorHAnsi" w:cstheme="minorHAnsi"/>
        </w:rPr>
        <w:lastRenderedPageBreak/>
        <w:t>Nº 90002/2024</w:t>
      </w:r>
      <w:r w:rsidRPr="003D336D">
        <w:rPr>
          <w:rStyle w:val="Refdenotaderodap"/>
          <w:rFonts w:asciiTheme="minorHAnsi" w:hAnsiTheme="minorHAnsi" w:cstheme="minorHAnsi"/>
        </w:rPr>
        <w:footnoteReference w:id="3"/>
      </w:r>
      <w:r w:rsidRPr="003D336D">
        <w:rPr>
          <w:rFonts w:asciiTheme="minorHAnsi" w:hAnsiTheme="minorHAnsi" w:cstheme="minorHAnsi"/>
        </w:rPr>
        <w:t>, do Ministério da Gestão e Inovação em Serviços Públicos (MGI); 2)  Pregão Eletrônico nº 90023/2025</w:t>
      </w:r>
      <w:r w:rsidRPr="003D336D">
        <w:rPr>
          <w:rStyle w:val="Refdenotaderodap"/>
          <w:rFonts w:asciiTheme="minorHAnsi" w:hAnsiTheme="minorHAnsi" w:cstheme="minorHAnsi"/>
        </w:rPr>
        <w:footnoteReference w:id="4"/>
      </w:r>
      <w:r w:rsidRPr="003D336D">
        <w:rPr>
          <w:rFonts w:asciiTheme="minorHAnsi" w:hAnsiTheme="minorHAnsi" w:cstheme="minorHAnsi"/>
        </w:rPr>
        <w:t xml:space="preserve"> – SEI – Processo nº 477/2024-71, do Tribunal de Contas do Estado de São Paulo – TCESP,  e 3) Pregão Eletrônico nº 90013/2024</w:t>
      </w:r>
      <w:r w:rsidRPr="003D336D">
        <w:rPr>
          <w:rStyle w:val="Refdenotaderodap"/>
          <w:rFonts w:asciiTheme="minorHAnsi" w:hAnsiTheme="minorHAnsi" w:cstheme="minorHAnsi"/>
        </w:rPr>
        <w:footnoteReference w:id="5"/>
      </w:r>
      <w:r w:rsidRPr="003D336D">
        <w:rPr>
          <w:rFonts w:asciiTheme="minorHAnsi" w:hAnsiTheme="minorHAnsi" w:cstheme="minorHAnsi"/>
        </w:rPr>
        <w:t>,  Processo TC nº 5066/2024-2, do Tribunal de Contas do Estado do Espírito Santo - TCEES.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O princípio da competitividade determina que a administração pública deve buscar o maior número de competidores, a fim de obter a proposta mais vantajosa e </w:t>
      </w:r>
      <w:r w:rsidRPr="003D336D">
        <w:rPr>
          <w:rFonts w:asciiTheme="minorHAnsi" w:hAnsiTheme="minorHAnsi" w:cstheme="minorHAnsi"/>
          <w:b/>
          <w:bCs/>
        </w:rPr>
        <w:t>garantir a eficiência</w:t>
      </w:r>
      <w:r w:rsidRPr="003D336D">
        <w:rPr>
          <w:rFonts w:asciiTheme="minorHAnsi" w:hAnsiTheme="minorHAnsi" w:cstheme="minorHAnsi"/>
        </w:rPr>
        <w:t xml:space="preserve"> da contratação. Ou seja, não se trata meramente de oportunizar a competição a qualquer licitante, mas sim a todo licitante que possua condições técnicas para atender o mínimo necessário para a Administração Pública. </w:t>
      </w:r>
    </w:p>
    <w:p w:rsidR="003D336D" w:rsidRPr="003D336D" w:rsidRDefault="003D336D" w:rsidP="003D336D">
      <w:pPr>
        <w:pStyle w:val="PargrafodaLista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>Do impacto ambiental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Com o avanço tecnológico, os equipamentos de impressão estão sendo produzidos com recursos que visam diminuir cada vez mais o consumo de energia e o uso de recursos naturais. Enquanto equipamentos usados / </w:t>
      </w:r>
      <w:proofErr w:type="spellStart"/>
      <w:r w:rsidRPr="003D336D">
        <w:rPr>
          <w:rFonts w:asciiTheme="minorHAnsi" w:hAnsiTheme="minorHAnsi" w:cstheme="minorHAnsi"/>
        </w:rPr>
        <w:t>remanufaturados</w:t>
      </w:r>
      <w:proofErr w:type="spellEnd"/>
      <w:r w:rsidRPr="003D336D">
        <w:rPr>
          <w:rFonts w:asciiTheme="minorHAnsi" w:hAnsiTheme="minorHAnsi" w:cstheme="minorHAnsi"/>
        </w:rPr>
        <w:t xml:space="preserve"> podem, devido sua obsolescência tecnológica, e pelo desgaste causado pelo tempo de uso, apresentar maior uso de consumíveis (toner) e energia, de modo a aumentar o impacto ambiental. 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Os equipamentos solicitados para este processo devem estar de acordo com os requisitos de preservação ambiental e redução de consumo energético, conforme solicitado em edital: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“7.1.1.7. Declarar que utilizará equipamentos que, comprovadamente, reduzem o consumo de energia e de recursos naturais e que participa do programa de coleta seletiva e descarte dos itens: </w:t>
      </w:r>
      <w:proofErr w:type="spellStart"/>
      <w:r w:rsidRPr="003D336D">
        <w:rPr>
          <w:rFonts w:asciiTheme="minorHAnsi" w:hAnsiTheme="minorHAnsi" w:cstheme="minorHAnsi"/>
        </w:rPr>
        <w:t>fusor</w:t>
      </w:r>
      <w:proofErr w:type="spellEnd"/>
      <w:r w:rsidRPr="003D336D">
        <w:rPr>
          <w:rFonts w:asciiTheme="minorHAnsi" w:hAnsiTheme="minorHAnsi" w:cstheme="minorHAnsi"/>
        </w:rPr>
        <w:t xml:space="preserve">, toner e caixa de resíduos, na forma do art. 6º da Lei Municipal nº 17.260/20.” </w:t>
      </w:r>
    </w:p>
    <w:p w:rsidR="003D336D" w:rsidRPr="003D336D" w:rsidRDefault="003D336D" w:rsidP="003D336D">
      <w:pPr>
        <w:rPr>
          <w:rFonts w:asciiTheme="minorHAnsi" w:hAnsiTheme="minorHAnsi" w:cstheme="minorHAnsi"/>
          <w:b/>
          <w:bCs/>
        </w:rPr>
      </w:pPr>
      <w:r w:rsidRPr="003D336D">
        <w:rPr>
          <w:rFonts w:asciiTheme="minorHAnsi" w:hAnsiTheme="minorHAnsi" w:cstheme="minorHAnsi"/>
          <w:b/>
          <w:bCs/>
        </w:rPr>
        <w:t>2. Conclusão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A impugnação apresentada </w:t>
      </w:r>
      <w:r w:rsidRPr="003D336D">
        <w:rPr>
          <w:rFonts w:asciiTheme="minorHAnsi" w:hAnsiTheme="minorHAnsi" w:cstheme="minorHAnsi"/>
          <w:b/>
          <w:bCs/>
        </w:rPr>
        <w:t>não merece acolhimento</w:t>
      </w:r>
      <w:r w:rsidRPr="003D336D">
        <w:rPr>
          <w:rFonts w:asciiTheme="minorHAnsi" w:hAnsiTheme="minorHAnsi" w:cstheme="minorHAnsi"/>
        </w:rPr>
        <w:t>, uma vez que a exigência de fornecimento de equipamentos novos está plenamente justificada com base:</w:t>
      </w:r>
    </w:p>
    <w:p w:rsidR="003D336D" w:rsidRPr="003D336D" w:rsidRDefault="004521B0" w:rsidP="003D336D">
      <w:pPr>
        <w:numPr>
          <w:ilvl w:val="0"/>
          <w:numId w:val="8"/>
        </w:numPr>
        <w:spacing w:before="0" w:after="1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</w:t>
      </w:r>
      <w:r w:rsidR="003D336D" w:rsidRPr="003D336D">
        <w:rPr>
          <w:rFonts w:asciiTheme="minorHAnsi" w:hAnsiTheme="minorHAnsi" w:cstheme="minorHAnsi"/>
        </w:rPr>
        <w:t>a legislação vigente (Lei nº 14.133/2021);</w:t>
      </w:r>
    </w:p>
    <w:p w:rsidR="003D336D" w:rsidRPr="003D336D" w:rsidRDefault="004521B0" w:rsidP="003D336D">
      <w:pPr>
        <w:numPr>
          <w:ilvl w:val="0"/>
          <w:numId w:val="8"/>
        </w:numPr>
        <w:spacing w:before="0" w:after="1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3D336D" w:rsidRPr="003D336D">
        <w:rPr>
          <w:rFonts w:asciiTheme="minorHAnsi" w:hAnsiTheme="minorHAnsi" w:cstheme="minorHAnsi"/>
        </w:rPr>
        <w:t>m princípios como eficiência, economicidade, continuidade do serviço público e segurança;</w:t>
      </w:r>
    </w:p>
    <w:p w:rsidR="003D336D" w:rsidRPr="003D336D" w:rsidRDefault="004521B0" w:rsidP="003D336D">
      <w:pPr>
        <w:numPr>
          <w:ilvl w:val="0"/>
          <w:numId w:val="8"/>
        </w:numPr>
        <w:spacing w:before="0" w:after="1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3D336D" w:rsidRPr="003D336D">
        <w:rPr>
          <w:rFonts w:asciiTheme="minorHAnsi" w:hAnsiTheme="minorHAnsi" w:cstheme="minorHAnsi"/>
        </w:rPr>
        <w:t>m fundamentos técnicos objetivos, relacionados à durabilidade, desempenho, suporte e obsolescência tecnológica;</w:t>
      </w:r>
    </w:p>
    <w:p w:rsidR="003D336D" w:rsidRPr="003D336D" w:rsidRDefault="004521B0" w:rsidP="003D336D">
      <w:pPr>
        <w:numPr>
          <w:ilvl w:val="0"/>
          <w:numId w:val="8"/>
        </w:numPr>
        <w:spacing w:before="0" w:after="1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3D336D" w:rsidRPr="003D336D">
        <w:rPr>
          <w:rFonts w:asciiTheme="minorHAnsi" w:hAnsiTheme="minorHAnsi" w:cstheme="minorHAnsi"/>
        </w:rPr>
        <w:t>m outras contratações similares.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A Administração Pública não pode e não deve utilizar nas suas contratações apenas o parâmetro de preço como critério de escolha. O preço tem significativa relevância, mas quando considerado com outros fatores, como qualidade, segurança e desempenho, especialmente em contratos com prazo elevado e impacto direto nas atividades-fim do órgão.</w:t>
      </w:r>
    </w:p>
    <w:p w:rsidR="003D336D" w:rsidRPr="003D336D" w:rsidRDefault="003D336D" w:rsidP="003D336D">
      <w:pPr>
        <w:ind w:firstLine="1134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Dessa forma, mantém-se a exigência de fornecimento de equipamentos novos, conforme previsto no edital.</w:t>
      </w:r>
    </w:p>
    <w:p w:rsidR="009F7FAA" w:rsidRPr="003D336D" w:rsidRDefault="009F7FAA" w:rsidP="00F321B7">
      <w:pPr>
        <w:spacing w:before="120" w:after="120" w:line="23" w:lineRule="atLeast"/>
        <w:ind w:firstLine="2835"/>
        <w:jc w:val="both"/>
        <w:rPr>
          <w:rFonts w:asciiTheme="minorHAnsi" w:eastAsia="Times New Roman" w:hAnsiTheme="minorHAnsi" w:cstheme="minorHAnsi"/>
          <w:lang w:eastAsia="en-US"/>
        </w:rPr>
      </w:pPr>
    </w:p>
    <w:p w:rsidR="009F7FAA" w:rsidRPr="003D336D" w:rsidRDefault="009F7FAA" w:rsidP="00F321B7">
      <w:pPr>
        <w:spacing w:before="120" w:after="120" w:line="23" w:lineRule="atLeast"/>
        <w:ind w:firstLine="2835"/>
        <w:jc w:val="both"/>
        <w:rPr>
          <w:rFonts w:asciiTheme="minorHAnsi" w:eastAsia="Times New Roman" w:hAnsiTheme="minorHAnsi" w:cstheme="minorHAnsi"/>
          <w:lang w:eastAsia="en-US"/>
        </w:rPr>
      </w:pPr>
    </w:p>
    <w:p w:rsidR="00A70DD3" w:rsidRPr="003D336D" w:rsidRDefault="00A70DD3" w:rsidP="00432BF7">
      <w:pPr>
        <w:tabs>
          <w:tab w:val="left" w:pos="142"/>
          <w:tab w:val="left" w:pos="708"/>
        </w:tabs>
        <w:spacing w:before="120" w:after="120" w:line="23" w:lineRule="atLeast"/>
        <w:jc w:val="center"/>
        <w:rPr>
          <w:rFonts w:asciiTheme="minorHAnsi" w:eastAsia="Times New Roman" w:hAnsiTheme="minorHAnsi" w:cstheme="minorHAnsi"/>
          <w:b/>
        </w:rPr>
      </w:pPr>
    </w:p>
    <w:p w:rsidR="00951913" w:rsidRPr="003D336D" w:rsidRDefault="004521B0" w:rsidP="00951913">
      <w:pPr>
        <w:tabs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DECISÃO</w:t>
      </w:r>
    </w:p>
    <w:p w:rsidR="00951913" w:rsidRPr="003D336D" w:rsidRDefault="00951913" w:rsidP="006D02C2">
      <w:pPr>
        <w:tabs>
          <w:tab w:val="left" w:pos="9356"/>
          <w:tab w:val="left" w:pos="9781"/>
        </w:tabs>
        <w:spacing w:before="120" w:after="120" w:line="23" w:lineRule="atLeast"/>
        <w:ind w:firstLine="2835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A análise ora demonstrada evidencia de forma cristalina a necessidade de manutenção da exigência constante em edital e diante disso, a Comissão nº </w:t>
      </w:r>
      <w:r w:rsidR="003D336D">
        <w:rPr>
          <w:rFonts w:asciiTheme="minorHAnsi" w:hAnsiTheme="minorHAnsi" w:cstheme="minorHAnsi"/>
        </w:rPr>
        <w:t>1</w:t>
      </w:r>
      <w:r w:rsidRPr="003D336D">
        <w:rPr>
          <w:rFonts w:asciiTheme="minorHAnsi" w:hAnsiTheme="minorHAnsi" w:cstheme="minorHAnsi"/>
        </w:rPr>
        <w:t xml:space="preserve">, na figura de seu </w:t>
      </w:r>
      <w:r w:rsidR="004521B0">
        <w:rPr>
          <w:rFonts w:asciiTheme="minorHAnsi" w:hAnsiTheme="minorHAnsi" w:cstheme="minorHAnsi"/>
        </w:rPr>
        <w:t>P</w:t>
      </w:r>
      <w:r w:rsidRPr="003D336D">
        <w:rPr>
          <w:rFonts w:asciiTheme="minorHAnsi" w:hAnsiTheme="minorHAnsi" w:cstheme="minorHAnsi"/>
        </w:rPr>
        <w:t>regoeiro, DECIDE:</w:t>
      </w:r>
    </w:p>
    <w:p w:rsidR="00951913" w:rsidRPr="003D336D" w:rsidRDefault="00951913" w:rsidP="00951913">
      <w:pPr>
        <w:tabs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</w:p>
    <w:p w:rsidR="00951913" w:rsidRPr="003D336D" w:rsidRDefault="00951913" w:rsidP="00951913">
      <w:pPr>
        <w:tabs>
          <w:tab w:val="left" w:pos="567"/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I)</w:t>
      </w:r>
      <w:r w:rsidRPr="003D336D">
        <w:rPr>
          <w:rFonts w:asciiTheme="minorHAnsi" w:hAnsiTheme="minorHAnsi" w:cstheme="minorHAnsi"/>
        </w:rPr>
        <w:tab/>
        <w:t>CONHECER a impugnação interposta pela</w:t>
      </w:r>
      <w:r w:rsidR="00643561" w:rsidRPr="00643561">
        <w:t xml:space="preserve"> </w:t>
      </w:r>
      <w:r w:rsidR="00643561" w:rsidRPr="00913A74">
        <w:rPr>
          <w:rFonts w:asciiTheme="minorHAnsi" w:hAnsiTheme="minorHAnsi" w:cstheme="minorHAnsi"/>
        </w:rPr>
        <w:t>AMC INFORMÁTICA LTDA</w:t>
      </w:r>
      <w:r w:rsidR="00913A74">
        <w:rPr>
          <w:rFonts w:asciiTheme="minorHAnsi" w:hAnsiTheme="minorHAnsi" w:cstheme="minorHAnsi"/>
        </w:rPr>
        <w:t>.</w:t>
      </w:r>
      <w:r w:rsidRPr="003D336D">
        <w:rPr>
          <w:rFonts w:asciiTheme="minorHAnsi" w:hAnsiTheme="minorHAnsi" w:cstheme="minorHAnsi"/>
        </w:rPr>
        <w:t xml:space="preserve">, posto que tempestiva; </w:t>
      </w:r>
    </w:p>
    <w:p w:rsidR="00951913" w:rsidRPr="003D336D" w:rsidRDefault="00951913" w:rsidP="00951913">
      <w:pPr>
        <w:tabs>
          <w:tab w:val="left" w:pos="567"/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II)</w:t>
      </w:r>
      <w:r w:rsidRPr="003D336D">
        <w:rPr>
          <w:rFonts w:asciiTheme="minorHAnsi" w:hAnsiTheme="minorHAnsi" w:cstheme="minorHAnsi"/>
        </w:rPr>
        <w:tab/>
        <w:t xml:space="preserve">NO MÉRITO, NEGAR-LHE PROVIMENTO pelas razões anteriormente aduzidas; </w:t>
      </w:r>
    </w:p>
    <w:p w:rsidR="00951913" w:rsidRPr="003D336D" w:rsidRDefault="00951913" w:rsidP="00951913">
      <w:pPr>
        <w:tabs>
          <w:tab w:val="left" w:pos="567"/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III)</w:t>
      </w:r>
      <w:r w:rsidRPr="003D336D">
        <w:rPr>
          <w:rFonts w:asciiTheme="minorHAnsi" w:hAnsiTheme="minorHAnsi" w:cstheme="minorHAnsi"/>
        </w:rPr>
        <w:tab/>
        <w:t xml:space="preserve">Publicar a decisão na plataforma Compras.gov.br; </w:t>
      </w:r>
    </w:p>
    <w:p w:rsidR="00951913" w:rsidRPr="003D336D" w:rsidRDefault="00951913" w:rsidP="00951913">
      <w:pPr>
        <w:tabs>
          <w:tab w:val="left" w:pos="567"/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>IV)</w:t>
      </w:r>
      <w:r w:rsidRPr="003D336D">
        <w:rPr>
          <w:rFonts w:asciiTheme="minorHAnsi" w:hAnsiTheme="minorHAnsi" w:cstheme="minorHAnsi"/>
        </w:rPr>
        <w:tab/>
        <w:t>Publicar o resultado da análise da decisão no Diário Oficial da Cidade de São Paulo, disponibilizando também no endereço</w:t>
      </w:r>
      <w:r w:rsidR="009A28B6" w:rsidRPr="003D336D">
        <w:rPr>
          <w:rFonts w:asciiTheme="minorHAnsi" w:hAnsiTheme="minorHAnsi" w:cstheme="minorHAnsi"/>
        </w:rPr>
        <w:t xml:space="preserve"> </w:t>
      </w:r>
      <w:r w:rsidRPr="003D336D">
        <w:rPr>
          <w:rFonts w:asciiTheme="minorHAnsi" w:hAnsiTheme="minorHAnsi" w:cstheme="minorHAnsi"/>
        </w:rPr>
        <w:t>eletrônicos www.tcm.sp.gov.br;</w:t>
      </w:r>
    </w:p>
    <w:p w:rsidR="00951913" w:rsidRPr="003D336D" w:rsidRDefault="00951913" w:rsidP="00951913">
      <w:pPr>
        <w:tabs>
          <w:tab w:val="left" w:pos="567"/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</w:p>
    <w:p w:rsidR="00951913" w:rsidRPr="003D336D" w:rsidRDefault="00951913" w:rsidP="00951913">
      <w:pPr>
        <w:tabs>
          <w:tab w:val="left" w:pos="567"/>
          <w:tab w:val="left" w:pos="9356"/>
          <w:tab w:val="left" w:pos="9781"/>
        </w:tabs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3D336D">
        <w:rPr>
          <w:rFonts w:asciiTheme="minorHAnsi" w:hAnsiTheme="minorHAnsi" w:cstheme="minorHAnsi"/>
        </w:rPr>
        <w:t xml:space="preserve">Nada mais havendo a tratar, lavrou-se a presente Ata que, lida e achada conforme, foi devidamente assinada pelo </w:t>
      </w:r>
      <w:r w:rsidR="00685145">
        <w:rPr>
          <w:rFonts w:asciiTheme="minorHAnsi" w:hAnsiTheme="minorHAnsi" w:cstheme="minorHAnsi"/>
        </w:rPr>
        <w:t>Pregoeiro e</w:t>
      </w:r>
      <w:r w:rsidRPr="003D336D">
        <w:rPr>
          <w:rFonts w:asciiTheme="minorHAnsi" w:hAnsiTheme="minorHAnsi" w:cstheme="minorHAnsi"/>
        </w:rPr>
        <w:t xml:space="preserve"> membros da </w:t>
      </w:r>
      <w:r w:rsidR="00685145">
        <w:rPr>
          <w:rFonts w:asciiTheme="minorHAnsi" w:hAnsiTheme="minorHAnsi" w:cstheme="minorHAnsi"/>
        </w:rPr>
        <w:t>Equipe de Apoio.</w:t>
      </w:r>
    </w:p>
    <w:p w:rsidR="00A70DD3" w:rsidRPr="003D336D" w:rsidRDefault="00A70DD3" w:rsidP="00432BF7">
      <w:pPr>
        <w:tabs>
          <w:tab w:val="left" w:pos="142"/>
          <w:tab w:val="left" w:pos="708"/>
        </w:tabs>
        <w:spacing w:before="120" w:after="120" w:line="23" w:lineRule="atLeast"/>
        <w:jc w:val="center"/>
        <w:rPr>
          <w:rFonts w:asciiTheme="minorHAnsi" w:eastAsia="Times New Roman" w:hAnsiTheme="minorHAnsi" w:cstheme="minorHAnsi"/>
          <w:b/>
          <w:highlight w:val="yellow"/>
        </w:rPr>
      </w:pPr>
    </w:p>
    <w:sectPr w:rsidR="00A70DD3" w:rsidRPr="003D336D" w:rsidSect="0013495C">
      <w:headerReference w:type="default" r:id="rId8"/>
      <w:footerReference w:type="even" r:id="rId9"/>
      <w:footerReference w:type="default" r:id="rId10"/>
      <w:type w:val="continuous"/>
      <w:pgSz w:w="11907" w:h="16840"/>
      <w:pgMar w:top="1701" w:right="851" w:bottom="1985" w:left="851" w:header="567" w:footer="1474" w:gutter="0"/>
      <w:pgNumType w:start="1"/>
      <w:cols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4D" w:rsidRDefault="005C684D">
      <w:r>
        <w:separator/>
      </w:r>
    </w:p>
  </w:endnote>
  <w:endnote w:type="continuationSeparator" w:id="0">
    <w:p w:rsidR="005C684D" w:rsidRDefault="005C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A3" w:rsidRPr="00BF5B62" w:rsidRDefault="000066A3" w:rsidP="00BF5B62">
    <w:pPr>
      <w:pStyle w:val="Rodap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pPr w:leftFromText="142" w:rightFromText="142" w:vertAnchor="page" w:horzAnchor="page" w:tblpX="852" w:tblpY="15112"/>
      <w:tblOverlap w:val="never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851"/>
    </w:tblGrid>
    <w:tr w:rsidR="00A96A30" w:rsidRPr="005102B9" w:rsidTr="000947A9">
      <w:tc>
        <w:tcPr>
          <w:tcW w:w="9356" w:type="dxa"/>
          <w:vAlign w:val="center"/>
        </w:tcPr>
        <w:p w:rsidR="00A96A30" w:rsidRPr="005102B9" w:rsidRDefault="00A96A30" w:rsidP="000947A9">
          <w:pPr>
            <w:pStyle w:val="Rodap"/>
          </w:pPr>
          <w:r w:rsidRPr="005102B9">
            <w:t>Cód</w:t>
          </w:r>
          <w:r w:rsidR="00BA628F" w:rsidRPr="005102B9">
            <w:t>.</w:t>
          </w:r>
          <w:r w:rsidRPr="005102B9">
            <w:t xml:space="preserve"> 042 (Versão 0</w:t>
          </w:r>
          <w:r w:rsidR="001E7CC9">
            <w:t>5</w:t>
          </w:r>
          <w:r w:rsidRPr="005102B9">
            <w:t>)</w:t>
          </w:r>
        </w:p>
      </w:tc>
      <w:tc>
        <w:tcPr>
          <w:tcW w:w="851" w:type="dxa"/>
          <w:vAlign w:val="center"/>
        </w:tcPr>
        <w:p w:rsidR="00A96A30" w:rsidRPr="00B83071" w:rsidRDefault="006802DA" w:rsidP="000947A9">
          <w:pPr>
            <w:pStyle w:val="Rodap"/>
            <w:jc w:val="right"/>
            <w:rPr>
              <w:rStyle w:val="Nmerodepgina"/>
            </w:rPr>
          </w:pPr>
          <w:r w:rsidRPr="00B83071">
            <w:rPr>
              <w:rStyle w:val="Nmerodepgina"/>
            </w:rPr>
            <w:fldChar w:fldCharType="begin"/>
          </w:r>
          <w:r w:rsidR="00A96A30" w:rsidRPr="00B83071">
            <w:rPr>
              <w:rStyle w:val="Nmerodepgina"/>
            </w:rPr>
            <w:instrText>PAGE   \* MERGEFORMAT</w:instrText>
          </w:r>
          <w:r w:rsidRPr="00B83071">
            <w:rPr>
              <w:rStyle w:val="Nmerodepgina"/>
            </w:rPr>
            <w:fldChar w:fldCharType="separate"/>
          </w:r>
          <w:r w:rsidR="0013495C">
            <w:rPr>
              <w:rStyle w:val="Nmerodepgina"/>
              <w:noProof/>
            </w:rPr>
            <w:t>1</w:t>
          </w:r>
          <w:r w:rsidRPr="00B83071">
            <w:rPr>
              <w:rStyle w:val="Nmerodepgina"/>
            </w:rPr>
            <w:fldChar w:fldCharType="end"/>
          </w:r>
        </w:p>
      </w:tc>
    </w:tr>
  </w:tbl>
  <w:p w:rsidR="008008D2" w:rsidRPr="006B5140" w:rsidRDefault="008008D2" w:rsidP="009121BE">
    <w:pPr>
      <w:pStyle w:val="auxiliar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4D" w:rsidRDefault="005C684D">
      <w:r>
        <w:separator/>
      </w:r>
    </w:p>
  </w:footnote>
  <w:footnote w:type="continuationSeparator" w:id="0">
    <w:p w:rsidR="005C684D" w:rsidRDefault="005C684D">
      <w:r>
        <w:continuationSeparator/>
      </w:r>
    </w:p>
  </w:footnote>
  <w:footnote w:id="1">
    <w:p w:rsidR="003D336D" w:rsidRDefault="003D336D" w:rsidP="003D336D">
      <w:r>
        <w:rPr>
          <w:rStyle w:val="Refdenotaderodap"/>
        </w:rPr>
        <w:footnoteRef/>
      </w:r>
      <w:r>
        <w:t xml:space="preserve"> https://www.trf1.jus.br/sjgo/noticias/uniao-nao-e-obrigada-a-usar-cartuchos-de-impressoras-remanufaturados</w:t>
      </w:r>
    </w:p>
    <w:p w:rsidR="003D336D" w:rsidRDefault="003D336D" w:rsidP="003D336D">
      <w:pPr>
        <w:pStyle w:val="Textodenotaderodap"/>
      </w:pPr>
    </w:p>
  </w:footnote>
  <w:footnote w:id="2">
    <w:p w:rsidR="003D336D" w:rsidRDefault="003D336D" w:rsidP="003D336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z w:val="24"/>
          <w:szCs w:val="24"/>
        </w:rPr>
        <w:t>https://brasscom.org.br/wp-content/uploads/2024/05/BRI2-2024-004-001-Relatorio-Setorial-versao-resumida-v25-SITE.pdf</w:t>
      </w:r>
    </w:p>
  </w:footnote>
  <w:footnote w:id="3">
    <w:p w:rsidR="003D336D" w:rsidRDefault="003D336D" w:rsidP="003D336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https://www.gov.br/gestao/pt-br/acesso-a-informacao/licitacoes-e-contratos/licitacoes-e-contratacoes-diretas/Colaboragov/licitacoes/2024/pregao-eletronico-no-90002-2024-diretoria-de-administracao-e-logistica-uasg-170607</w:t>
        </w:r>
      </w:hyperlink>
      <w:r>
        <w:t xml:space="preserve"> </w:t>
      </w:r>
    </w:p>
  </w:footnote>
  <w:footnote w:id="4">
    <w:p w:rsidR="003D336D" w:rsidRDefault="003D336D" w:rsidP="003D336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https://www4.tce.sp.gov.br/licitacao/900232025</w:t>
        </w:r>
      </w:hyperlink>
      <w:r>
        <w:t xml:space="preserve"> </w:t>
      </w:r>
    </w:p>
  </w:footnote>
  <w:footnote w:id="5">
    <w:p w:rsidR="003D336D" w:rsidRDefault="003D336D" w:rsidP="003D336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https://diario.tcees.tc.br/Noticia/BaixarDocumento?idDocumento=4369627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page" w:tblpX="852" w:tblpY="1"/>
      <w:tblOverlap w:val="never"/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7513"/>
    </w:tblGrid>
    <w:tr w:rsidR="00B4333E" w:rsidTr="009E4EA9">
      <w:trPr>
        <w:trHeight w:hRule="exact" w:val="1134"/>
      </w:trPr>
      <w:tc>
        <w:tcPr>
          <w:tcW w:w="2694" w:type="dxa"/>
        </w:tcPr>
        <w:p w:rsidR="00B4333E" w:rsidRPr="00081E47" w:rsidRDefault="00A43539" w:rsidP="009E4EA9">
          <w:pPr>
            <w:spacing w:before="0" w:line="240" w:lineRule="auto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>
            <w:object w:dxaOrig="10261" w:dyaOrig="4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5pt;height:57.75pt" o:ole="">
                <v:imagedata r:id="rId1" o:title=""/>
              </v:shape>
              <o:OLEObject Type="Embed" ProgID="PBrush" ShapeID="_x0000_i1025" DrawAspect="Content" ObjectID="_1814019716" r:id="rId2"/>
            </w:object>
          </w:r>
        </w:p>
      </w:tc>
      <w:tc>
        <w:tcPr>
          <w:tcW w:w="7513" w:type="dxa"/>
          <w:vAlign w:val="center"/>
        </w:tcPr>
        <w:p w:rsidR="00B4333E" w:rsidRPr="008E5BAC" w:rsidRDefault="00B4333E" w:rsidP="009E4EA9">
          <w:pPr>
            <w:pStyle w:val="Descrio"/>
            <w:tabs>
              <w:tab w:val="clear" w:pos="8040"/>
            </w:tabs>
          </w:pPr>
        </w:p>
      </w:tc>
    </w:tr>
  </w:tbl>
  <w:p w:rsidR="008008D2" w:rsidRDefault="008008D2" w:rsidP="0083758B">
    <w:pPr>
      <w:pStyle w:val="auxiliar1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1870"/>
    <w:multiLevelType w:val="multilevel"/>
    <w:tmpl w:val="5838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47FC0"/>
    <w:multiLevelType w:val="hybridMultilevel"/>
    <w:tmpl w:val="C736D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072"/>
    <w:multiLevelType w:val="multilevel"/>
    <w:tmpl w:val="A27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05DC4"/>
    <w:multiLevelType w:val="multilevel"/>
    <w:tmpl w:val="DACA11CE"/>
    <w:styleLink w:val="Estilo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8.9.%3."/>
      <w:lvlJc w:val="left"/>
      <w:pPr>
        <w:ind w:left="121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8.9.%3.%4."/>
      <w:lvlJc w:val="left"/>
      <w:pPr>
        <w:ind w:left="220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5103BE"/>
    <w:multiLevelType w:val="hybridMultilevel"/>
    <w:tmpl w:val="9BD27898"/>
    <w:lvl w:ilvl="0" w:tplc="FB626AAE">
      <w:start w:val="1"/>
      <w:numFmt w:val="bullet"/>
      <w:pStyle w:val="ItemManifestacao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AF50757"/>
    <w:multiLevelType w:val="multilevel"/>
    <w:tmpl w:val="FDFEB236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tulo3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 w15:restartNumberingAfterBreak="0">
    <w:nsid w:val="6D21526F"/>
    <w:multiLevelType w:val="multilevel"/>
    <w:tmpl w:val="AFD0585C"/>
    <w:lvl w:ilvl="0">
      <w:start w:val="1"/>
      <w:numFmt w:val="bullet"/>
      <w:pStyle w:val="Itemizao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44134D2"/>
    <w:multiLevelType w:val="hybridMultilevel"/>
    <w:tmpl w:val="64545EB0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2B"/>
    <w:rsid w:val="00000B87"/>
    <w:rsid w:val="00002880"/>
    <w:rsid w:val="000042CB"/>
    <w:rsid w:val="000066A3"/>
    <w:rsid w:val="0001595D"/>
    <w:rsid w:val="00031547"/>
    <w:rsid w:val="00034874"/>
    <w:rsid w:val="00040552"/>
    <w:rsid w:val="0004365E"/>
    <w:rsid w:val="00052B10"/>
    <w:rsid w:val="00056C4F"/>
    <w:rsid w:val="000620F7"/>
    <w:rsid w:val="00070491"/>
    <w:rsid w:val="000707F2"/>
    <w:rsid w:val="00080947"/>
    <w:rsid w:val="00081E47"/>
    <w:rsid w:val="00083D6E"/>
    <w:rsid w:val="000947A9"/>
    <w:rsid w:val="000970AE"/>
    <w:rsid w:val="00097CE6"/>
    <w:rsid w:val="000B4C35"/>
    <w:rsid w:val="000B5F72"/>
    <w:rsid w:val="000C2C1B"/>
    <w:rsid w:val="000C739D"/>
    <w:rsid w:val="000F5A30"/>
    <w:rsid w:val="00105EC1"/>
    <w:rsid w:val="001100D0"/>
    <w:rsid w:val="00110768"/>
    <w:rsid w:val="0011657C"/>
    <w:rsid w:val="0011697A"/>
    <w:rsid w:val="00121FA5"/>
    <w:rsid w:val="0012611A"/>
    <w:rsid w:val="00133A52"/>
    <w:rsid w:val="0013495C"/>
    <w:rsid w:val="001459EC"/>
    <w:rsid w:val="0015244E"/>
    <w:rsid w:val="001632AB"/>
    <w:rsid w:val="0017010D"/>
    <w:rsid w:val="00174F7C"/>
    <w:rsid w:val="00181CF5"/>
    <w:rsid w:val="001828A8"/>
    <w:rsid w:val="001869D5"/>
    <w:rsid w:val="00191387"/>
    <w:rsid w:val="0019578F"/>
    <w:rsid w:val="001A5844"/>
    <w:rsid w:val="001B7B14"/>
    <w:rsid w:val="001D1146"/>
    <w:rsid w:val="001D374C"/>
    <w:rsid w:val="001D41C1"/>
    <w:rsid w:val="001E1695"/>
    <w:rsid w:val="001E1BFB"/>
    <w:rsid w:val="001E7CC9"/>
    <w:rsid w:val="002077A3"/>
    <w:rsid w:val="002304C1"/>
    <w:rsid w:val="002506A2"/>
    <w:rsid w:val="0025764D"/>
    <w:rsid w:val="0026131A"/>
    <w:rsid w:val="00264370"/>
    <w:rsid w:val="00276112"/>
    <w:rsid w:val="00281DE6"/>
    <w:rsid w:val="002859F4"/>
    <w:rsid w:val="00287D07"/>
    <w:rsid w:val="0029744F"/>
    <w:rsid w:val="002A3ABF"/>
    <w:rsid w:val="002A6770"/>
    <w:rsid w:val="002D1F8D"/>
    <w:rsid w:val="002D2AF3"/>
    <w:rsid w:val="002E4073"/>
    <w:rsid w:val="002E4387"/>
    <w:rsid w:val="003121FD"/>
    <w:rsid w:val="00326527"/>
    <w:rsid w:val="003314E4"/>
    <w:rsid w:val="00337D8F"/>
    <w:rsid w:val="003425B2"/>
    <w:rsid w:val="0035440E"/>
    <w:rsid w:val="00356FC6"/>
    <w:rsid w:val="003628D1"/>
    <w:rsid w:val="00364A01"/>
    <w:rsid w:val="00377A78"/>
    <w:rsid w:val="003833A2"/>
    <w:rsid w:val="00390365"/>
    <w:rsid w:val="00393698"/>
    <w:rsid w:val="003A099B"/>
    <w:rsid w:val="003B4820"/>
    <w:rsid w:val="003B4E4D"/>
    <w:rsid w:val="003C1725"/>
    <w:rsid w:val="003C6D15"/>
    <w:rsid w:val="003D29BF"/>
    <w:rsid w:val="003D336D"/>
    <w:rsid w:val="003D4A31"/>
    <w:rsid w:val="003E2142"/>
    <w:rsid w:val="003E2D06"/>
    <w:rsid w:val="003E4964"/>
    <w:rsid w:val="003E7192"/>
    <w:rsid w:val="003F0889"/>
    <w:rsid w:val="003F4F5F"/>
    <w:rsid w:val="003F56D2"/>
    <w:rsid w:val="00412480"/>
    <w:rsid w:val="00417CAD"/>
    <w:rsid w:val="00425488"/>
    <w:rsid w:val="00432BF7"/>
    <w:rsid w:val="0043451E"/>
    <w:rsid w:val="004347B2"/>
    <w:rsid w:val="00435E76"/>
    <w:rsid w:val="00437811"/>
    <w:rsid w:val="00446AF3"/>
    <w:rsid w:val="0045060F"/>
    <w:rsid w:val="004521B0"/>
    <w:rsid w:val="00454A9C"/>
    <w:rsid w:val="00455D30"/>
    <w:rsid w:val="0046657F"/>
    <w:rsid w:val="00476CB9"/>
    <w:rsid w:val="00477A77"/>
    <w:rsid w:val="004835C8"/>
    <w:rsid w:val="00484FB8"/>
    <w:rsid w:val="004A1138"/>
    <w:rsid w:val="004A4C84"/>
    <w:rsid w:val="004B491C"/>
    <w:rsid w:val="004B5FEC"/>
    <w:rsid w:val="004C548F"/>
    <w:rsid w:val="004F792F"/>
    <w:rsid w:val="005010BF"/>
    <w:rsid w:val="005021E6"/>
    <w:rsid w:val="0050271B"/>
    <w:rsid w:val="005102B9"/>
    <w:rsid w:val="005110A0"/>
    <w:rsid w:val="005338CA"/>
    <w:rsid w:val="0054021D"/>
    <w:rsid w:val="00565929"/>
    <w:rsid w:val="0057441A"/>
    <w:rsid w:val="00580951"/>
    <w:rsid w:val="0058783C"/>
    <w:rsid w:val="00591F15"/>
    <w:rsid w:val="005A1199"/>
    <w:rsid w:val="005B2276"/>
    <w:rsid w:val="005B3AD6"/>
    <w:rsid w:val="005B5452"/>
    <w:rsid w:val="005B5F3B"/>
    <w:rsid w:val="005B5FBE"/>
    <w:rsid w:val="005C0F91"/>
    <w:rsid w:val="005C684D"/>
    <w:rsid w:val="005F3FD3"/>
    <w:rsid w:val="006058DC"/>
    <w:rsid w:val="00613893"/>
    <w:rsid w:val="00615C90"/>
    <w:rsid w:val="00623705"/>
    <w:rsid w:val="00632472"/>
    <w:rsid w:val="006376F2"/>
    <w:rsid w:val="00637FA1"/>
    <w:rsid w:val="00641B98"/>
    <w:rsid w:val="00642979"/>
    <w:rsid w:val="00643561"/>
    <w:rsid w:val="00652E20"/>
    <w:rsid w:val="00676B7B"/>
    <w:rsid w:val="006802DA"/>
    <w:rsid w:val="00685145"/>
    <w:rsid w:val="0069044E"/>
    <w:rsid w:val="00694893"/>
    <w:rsid w:val="006953DB"/>
    <w:rsid w:val="00697D61"/>
    <w:rsid w:val="006A0FC5"/>
    <w:rsid w:val="006B022B"/>
    <w:rsid w:val="006B0852"/>
    <w:rsid w:val="006B5140"/>
    <w:rsid w:val="006B6888"/>
    <w:rsid w:val="006C0DFB"/>
    <w:rsid w:val="006C231E"/>
    <w:rsid w:val="006C6B61"/>
    <w:rsid w:val="006D02C2"/>
    <w:rsid w:val="006D4911"/>
    <w:rsid w:val="006D7F04"/>
    <w:rsid w:val="006E5FCA"/>
    <w:rsid w:val="006E7280"/>
    <w:rsid w:val="006F5ADA"/>
    <w:rsid w:val="006F6FB0"/>
    <w:rsid w:val="00702B16"/>
    <w:rsid w:val="007071EA"/>
    <w:rsid w:val="00707954"/>
    <w:rsid w:val="007118C3"/>
    <w:rsid w:val="0072243F"/>
    <w:rsid w:val="00722A29"/>
    <w:rsid w:val="00723008"/>
    <w:rsid w:val="0073263B"/>
    <w:rsid w:val="007403E5"/>
    <w:rsid w:val="0075585E"/>
    <w:rsid w:val="0077039B"/>
    <w:rsid w:val="00770BAF"/>
    <w:rsid w:val="00774C31"/>
    <w:rsid w:val="00781961"/>
    <w:rsid w:val="007906F6"/>
    <w:rsid w:val="00795300"/>
    <w:rsid w:val="007B0690"/>
    <w:rsid w:val="007C1E6D"/>
    <w:rsid w:val="007E3A88"/>
    <w:rsid w:val="007E4BE5"/>
    <w:rsid w:val="007E76FE"/>
    <w:rsid w:val="007F3C76"/>
    <w:rsid w:val="007F677A"/>
    <w:rsid w:val="008004EF"/>
    <w:rsid w:val="008008D2"/>
    <w:rsid w:val="008106F9"/>
    <w:rsid w:val="008161D7"/>
    <w:rsid w:val="0083088D"/>
    <w:rsid w:val="00830CAB"/>
    <w:rsid w:val="0083758B"/>
    <w:rsid w:val="00846C25"/>
    <w:rsid w:val="00877758"/>
    <w:rsid w:val="008833EF"/>
    <w:rsid w:val="00887758"/>
    <w:rsid w:val="00890DAF"/>
    <w:rsid w:val="008911C7"/>
    <w:rsid w:val="008934AF"/>
    <w:rsid w:val="00896B01"/>
    <w:rsid w:val="008B1A0E"/>
    <w:rsid w:val="008C14C9"/>
    <w:rsid w:val="008C191B"/>
    <w:rsid w:val="008C6B3D"/>
    <w:rsid w:val="008C7A8C"/>
    <w:rsid w:val="008D5A2A"/>
    <w:rsid w:val="008D5D22"/>
    <w:rsid w:val="008E1ABE"/>
    <w:rsid w:val="008E1C57"/>
    <w:rsid w:val="008E2004"/>
    <w:rsid w:val="008E5BAC"/>
    <w:rsid w:val="008E61C2"/>
    <w:rsid w:val="008E6DCC"/>
    <w:rsid w:val="008E7BED"/>
    <w:rsid w:val="008F47E5"/>
    <w:rsid w:val="00900A6A"/>
    <w:rsid w:val="00904EA2"/>
    <w:rsid w:val="00910B76"/>
    <w:rsid w:val="00911532"/>
    <w:rsid w:val="009121BE"/>
    <w:rsid w:val="00913A74"/>
    <w:rsid w:val="0092799F"/>
    <w:rsid w:val="00940B8A"/>
    <w:rsid w:val="00940CE9"/>
    <w:rsid w:val="00947559"/>
    <w:rsid w:val="00951913"/>
    <w:rsid w:val="00954F40"/>
    <w:rsid w:val="009553F6"/>
    <w:rsid w:val="009734A1"/>
    <w:rsid w:val="00987F3B"/>
    <w:rsid w:val="009A28B6"/>
    <w:rsid w:val="009A516E"/>
    <w:rsid w:val="009A7FA6"/>
    <w:rsid w:val="009B1173"/>
    <w:rsid w:val="009B2E7E"/>
    <w:rsid w:val="009B2EC5"/>
    <w:rsid w:val="009C405B"/>
    <w:rsid w:val="009C42F7"/>
    <w:rsid w:val="009C7B4F"/>
    <w:rsid w:val="009D208C"/>
    <w:rsid w:val="009D2DA3"/>
    <w:rsid w:val="009D3C27"/>
    <w:rsid w:val="009E2C05"/>
    <w:rsid w:val="009E4EA9"/>
    <w:rsid w:val="009F202A"/>
    <w:rsid w:val="009F5E76"/>
    <w:rsid w:val="009F7FAA"/>
    <w:rsid w:val="00A10473"/>
    <w:rsid w:val="00A14CFA"/>
    <w:rsid w:val="00A15C01"/>
    <w:rsid w:val="00A2016B"/>
    <w:rsid w:val="00A3339E"/>
    <w:rsid w:val="00A42D6E"/>
    <w:rsid w:val="00A43539"/>
    <w:rsid w:val="00A46867"/>
    <w:rsid w:val="00A565F0"/>
    <w:rsid w:val="00A608D6"/>
    <w:rsid w:val="00A61D51"/>
    <w:rsid w:val="00A65D59"/>
    <w:rsid w:val="00A70DD3"/>
    <w:rsid w:val="00A80263"/>
    <w:rsid w:val="00A80A2B"/>
    <w:rsid w:val="00A930FF"/>
    <w:rsid w:val="00A96A30"/>
    <w:rsid w:val="00AA071D"/>
    <w:rsid w:val="00AA16E7"/>
    <w:rsid w:val="00AA6C21"/>
    <w:rsid w:val="00AB37F7"/>
    <w:rsid w:val="00AC29D7"/>
    <w:rsid w:val="00AC7B82"/>
    <w:rsid w:val="00AD0DCE"/>
    <w:rsid w:val="00AD2D78"/>
    <w:rsid w:val="00AD4ED3"/>
    <w:rsid w:val="00AE0AC5"/>
    <w:rsid w:val="00AE6BA3"/>
    <w:rsid w:val="00AF0DDF"/>
    <w:rsid w:val="00B027AC"/>
    <w:rsid w:val="00B15011"/>
    <w:rsid w:val="00B238D7"/>
    <w:rsid w:val="00B24CEA"/>
    <w:rsid w:val="00B31277"/>
    <w:rsid w:val="00B32A57"/>
    <w:rsid w:val="00B34419"/>
    <w:rsid w:val="00B35B20"/>
    <w:rsid w:val="00B4333E"/>
    <w:rsid w:val="00B574AC"/>
    <w:rsid w:val="00B57FD8"/>
    <w:rsid w:val="00B6035A"/>
    <w:rsid w:val="00B81062"/>
    <w:rsid w:val="00B83071"/>
    <w:rsid w:val="00B84C74"/>
    <w:rsid w:val="00B8640F"/>
    <w:rsid w:val="00B97D8D"/>
    <w:rsid w:val="00BA1413"/>
    <w:rsid w:val="00BA5D78"/>
    <w:rsid w:val="00BA628F"/>
    <w:rsid w:val="00BA6D78"/>
    <w:rsid w:val="00BB0762"/>
    <w:rsid w:val="00BB2A08"/>
    <w:rsid w:val="00BB341F"/>
    <w:rsid w:val="00BB3CDD"/>
    <w:rsid w:val="00BD0102"/>
    <w:rsid w:val="00BD1935"/>
    <w:rsid w:val="00BD650B"/>
    <w:rsid w:val="00BE331A"/>
    <w:rsid w:val="00BE3647"/>
    <w:rsid w:val="00BE3C2F"/>
    <w:rsid w:val="00BF0E81"/>
    <w:rsid w:val="00BF0F84"/>
    <w:rsid w:val="00BF4EC9"/>
    <w:rsid w:val="00BF54BD"/>
    <w:rsid w:val="00BF5B62"/>
    <w:rsid w:val="00C10360"/>
    <w:rsid w:val="00C1074F"/>
    <w:rsid w:val="00C12B36"/>
    <w:rsid w:val="00C17C7C"/>
    <w:rsid w:val="00C26980"/>
    <w:rsid w:val="00C37364"/>
    <w:rsid w:val="00C41D29"/>
    <w:rsid w:val="00C6000D"/>
    <w:rsid w:val="00C71CCB"/>
    <w:rsid w:val="00C778D2"/>
    <w:rsid w:val="00C85C6F"/>
    <w:rsid w:val="00C921D5"/>
    <w:rsid w:val="00C96F25"/>
    <w:rsid w:val="00CA3DEE"/>
    <w:rsid w:val="00CA6035"/>
    <w:rsid w:val="00CB4E62"/>
    <w:rsid w:val="00CF5792"/>
    <w:rsid w:val="00D12CE1"/>
    <w:rsid w:val="00D1368D"/>
    <w:rsid w:val="00D1499A"/>
    <w:rsid w:val="00D204F0"/>
    <w:rsid w:val="00D2196F"/>
    <w:rsid w:val="00D272B6"/>
    <w:rsid w:val="00D33341"/>
    <w:rsid w:val="00D342D2"/>
    <w:rsid w:val="00D35818"/>
    <w:rsid w:val="00D41919"/>
    <w:rsid w:val="00D42397"/>
    <w:rsid w:val="00D51AFB"/>
    <w:rsid w:val="00D6187B"/>
    <w:rsid w:val="00D715DB"/>
    <w:rsid w:val="00D72A36"/>
    <w:rsid w:val="00D74CA5"/>
    <w:rsid w:val="00D77D50"/>
    <w:rsid w:val="00D807AB"/>
    <w:rsid w:val="00D8206F"/>
    <w:rsid w:val="00D82D16"/>
    <w:rsid w:val="00D846AF"/>
    <w:rsid w:val="00D94BB8"/>
    <w:rsid w:val="00DA4183"/>
    <w:rsid w:val="00DC25FA"/>
    <w:rsid w:val="00DC4C72"/>
    <w:rsid w:val="00DC74A3"/>
    <w:rsid w:val="00DD2400"/>
    <w:rsid w:val="00DD49EB"/>
    <w:rsid w:val="00DD749A"/>
    <w:rsid w:val="00DE18EA"/>
    <w:rsid w:val="00DE195A"/>
    <w:rsid w:val="00DE4C32"/>
    <w:rsid w:val="00DE7DB4"/>
    <w:rsid w:val="00DF511E"/>
    <w:rsid w:val="00DF709A"/>
    <w:rsid w:val="00E11EDD"/>
    <w:rsid w:val="00E13255"/>
    <w:rsid w:val="00E1612E"/>
    <w:rsid w:val="00E35809"/>
    <w:rsid w:val="00E35897"/>
    <w:rsid w:val="00E4119A"/>
    <w:rsid w:val="00E473BE"/>
    <w:rsid w:val="00E62959"/>
    <w:rsid w:val="00E62E58"/>
    <w:rsid w:val="00E7589F"/>
    <w:rsid w:val="00E86044"/>
    <w:rsid w:val="00E94952"/>
    <w:rsid w:val="00E94C1C"/>
    <w:rsid w:val="00EA07F0"/>
    <w:rsid w:val="00EA16CD"/>
    <w:rsid w:val="00EA18B0"/>
    <w:rsid w:val="00EA4454"/>
    <w:rsid w:val="00EB6C80"/>
    <w:rsid w:val="00EC159B"/>
    <w:rsid w:val="00EC24DB"/>
    <w:rsid w:val="00EC4599"/>
    <w:rsid w:val="00EE0D79"/>
    <w:rsid w:val="00F03ED9"/>
    <w:rsid w:val="00F05D06"/>
    <w:rsid w:val="00F24D20"/>
    <w:rsid w:val="00F30885"/>
    <w:rsid w:val="00F321B7"/>
    <w:rsid w:val="00F34992"/>
    <w:rsid w:val="00F358C3"/>
    <w:rsid w:val="00F467F4"/>
    <w:rsid w:val="00F47BA7"/>
    <w:rsid w:val="00F63F10"/>
    <w:rsid w:val="00F7003F"/>
    <w:rsid w:val="00F719D7"/>
    <w:rsid w:val="00F77119"/>
    <w:rsid w:val="00F87725"/>
    <w:rsid w:val="00F936AA"/>
    <w:rsid w:val="00F94082"/>
    <w:rsid w:val="00F9664A"/>
    <w:rsid w:val="00F969ED"/>
    <w:rsid w:val="00FB3CF7"/>
    <w:rsid w:val="00FC1B68"/>
    <w:rsid w:val="00FC1B80"/>
    <w:rsid w:val="00FC264C"/>
    <w:rsid w:val="00FC3F68"/>
    <w:rsid w:val="00FC6094"/>
    <w:rsid w:val="00FD45BE"/>
    <w:rsid w:val="00FE7A1A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D7ABD5DC-F912-407F-9B48-760A447C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pt-BR" w:eastAsia="pt-BR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Default Paragraph Font" w:semiHidden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67F4"/>
  </w:style>
  <w:style w:type="paragraph" w:styleId="Ttulo1">
    <w:name w:val="heading 1"/>
    <w:next w:val="Corpodetexto"/>
    <w:link w:val="Ttulo1Char"/>
    <w:qFormat/>
    <w:rsid w:val="00446AF3"/>
    <w:pPr>
      <w:keepNext/>
      <w:numPr>
        <w:numId w:val="2"/>
      </w:numPr>
      <w:ind w:right="198"/>
      <w:contextualSpacing/>
      <w:outlineLvl w:val="0"/>
    </w:pPr>
    <w:rPr>
      <w:rFonts w:eastAsia="Times New Roman" w:cs="Arial"/>
      <w:b/>
      <w:bCs/>
      <w:caps/>
    </w:rPr>
  </w:style>
  <w:style w:type="paragraph" w:styleId="Ttulo2">
    <w:name w:val="heading 2"/>
    <w:basedOn w:val="Ttulo1"/>
    <w:next w:val="Corpodetexto"/>
    <w:link w:val="Ttulo2Char"/>
    <w:qFormat/>
    <w:rsid w:val="0058783C"/>
    <w:pPr>
      <w:numPr>
        <w:ilvl w:val="1"/>
      </w:numPr>
      <w:tabs>
        <w:tab w:val="left" w:pos="142"/>
      </w:tabs>
      <w:spacing w:line="240" w:lineRule="auto"/>
      <w:jc w:val="both"/>
      <w:outlineLvl w:val="1"/>
    </w:pPr>
    <w:rPr>
      <w:caps w:val="0"/>
      <w:szCs w:val="20"/>
    </w:rPr>
  </w:style>
  <w:style w:type="paragraph" w:styleId="Ttulo3">
    <w:name w:val="heading 3"/>
    <w:basedOn w:val="Ttulo2"/>
    <w:next w:val="Corpodetexto"/>
    <w:link w:val="Ttulo3Char"/>
    <w:qFormat/>
    <w:rsid w:val="009B2EC5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har"/>
    <w:rsid w:val="009B2EC5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rsid w:val="007C1E6D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semiHidden/>
    <w:rsid w:val="007C1E6D"/>
    <w:pPr>
      <w:keepNext/>
      <w:ind w:left="-68"/>
      <w:outlineLvl w:val="5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954"/>
    <w:rPr>
      <w:rFonts w:eastAsia="Times New Roman" w:cs="Arial"/>
      <w:b/>
      <w:bCs/>
      <w:caps/>
    </w:rPr>
  </w:style>
  <w:style w:type="character" w:customStyle="1" w:styleId="Ttulo2Char">
    <w:name w:val="Título 2 Char"/>
    <w:basedOn w:val="Fontepargpadro"/>
    <w:link w:val="Ttulo2"/>
    <w:rsid w:val="00707954"/>
    <w:rPr>
      <w:rFonts w:eastAsia="Times New Roman" w:cs="Arial"/>
      <w:b/>
      <w:bCs/>
      <w:szCs w:val="20"/>
    </w:rPr>
  </w:style>
  <w:style w:type="character" w:customStyle="1" w:styleId="Ttulo3Char">
    <w:name w:val="Título 3 Char"/>
    <w:basedOn w:val="Fontepargpadro"/>
    <w:link w:val="Ttulo3"/>
    <w:rsid w:val="00707954"/>
    <w:rPr>
      <w:rFonts w:eastAsia="Times New Roman" w:cs="Arial"/>
      <w:b/>
      <w:bCs/>
      <w:szCs w:val="20"/>
    </w:rPr>
  </w:style>
  <w:style w:type="character" w:customStyle="1" w:styleId="Ttulo4Char">
    <w:name w:val="Título 4 Char"/>
    <w:basedOn w:val="Fontepargpadro"/>
    <w:link w:val="Ttulo4"/>
    <w:rsid w:val="00707954"/>
    <w:rPr>
      <w:rFonts w:eastAsia="Times New Roman" w:cs="Arial"/>
      <w:b/>
      <w:bCs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4B5FEC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B5FEC"/>
    <w:rPr>
      <w:rFonts w:ascii="Arial" w:hAnsi="Arial" w:cs="Times New Roman"/>
      <w:b/>
      <w:bCs/>
      <w:sz w:val="12"/>
      <w:szCs w:val="12"/>
    </w:rPr>
  </w:style>
  <w:style w:type="paragraph" w:styleId="Cabealho">
    <w:name w:val="header"/>
    <w:link w:val="CabealhoChar"/>
    <w:uiPriority w:val="99"/>
    <w:qFormat/>
    <w:rsid w:val="0058783C"/>
    <w:pPr>
      <w:tabs>
        <w:tab w:val="left" w:pos="8040"/>
      </w:tabs>
      <w:spacing w:before="0" w:line="240" w:lineRule="auto"/>
      <w:ind w:left="142" w:right="-1"/>
      <w:jc w:val="both"/>
    </w:pPr>
    <w:rPr>
      <w:rFonts w:eastAsia="Times New Roman" w:cs="Arial"/>
      <w:b/>
    </w:rPr>
  </w:style>
  <w:style w:type="character" w:customStyle="1" w:styleId="CabealhoChar">
    <w:name w:val="Cabeçalho Char"/>
    <w:basedOn w:val="Fontepargpadro"/>
    <w:link w:val="Cabealho"/>
    <w:uiPriority w:val="99"/>
    <w:rsid w:val="0058783C"/>
    <w:rPr>
      <w:rFonts w:eastAsia="Times New Roman" w:cs="Arial"/>
      <w:b/>
    </w:rPr>
  </w:style>
  <w:style w:type="paragraph" w:styleId="Rodap">
    <w:name w:val="footer"/>
    <w:basedOn w:val="Normal"/>
    <w:link w:val="RodapChar"/>
    <w:uiPriority w:val="99"/>
    <w:rsid w:val="006376F2"/>
    <w:pPr>
      <w:tabs>
        <w:tab w:val="left" w:pos="9639"/>
      </w:tabs>
      <w:spacing w:before="0" w:line="240" w:lineRule="auto"/>
      <w:ind w:left="176"/>
    </w:pPr>
    <w:rPr>
      <w:rFonts w:ascii="Times New Roman" w:hAnsi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376F2"/>
    <w:rPr>
      <w:rFonts w:ascii="Times New Roman" w:hAnsi="Times New Roman"/>
      <w:sz w:val="16"/>
      <w:szCs w:val="16"/>
    </w:rPr>
  </w:style>
  <w:style w:type="character" w:styleId="Nmerodepgina">
    <w:name w:val="page number"/>
    <w:uiPriority w:val="99"/>
    <w:rsid w:val="006B5140"/>
    <w:rPr>
      <w:rFonts w:ascii="Times New Roman" w:hAnsi="Times New Roman" w:cs="Arial"/>
      <w:sz w:val="20"/>
      <w:szCs w:val="16"/>
    </w:rPr>
  </w:style>
  <w:style w:type="paragraph" w:styleId="Assinatura">
    <w:name w:val="Signature"/>
    <w:link w:val="AssinaturaChar"/>
    <w:uiPriority w:val="99"/>
    <w:rsid w:val="0058783C"/>
    <w:pPr>
      <w:adjustRightInd w:val="0"/>
      <w:spacing w:before="0" w:line="240" w:lineRule="auto"/>
      <w:jc w:val="center"/>
    </w:pPr>
    <w:rPr>
      <w:rFonts w:cs="Arial"/>
      <w:b/>
    </w:rPr>
  </w:style>
  <w:style w:type="character" w:customStyle="1" w:styleId="AssinaturaChar">
    <w:name w:val="Assinatura Char"/>
    <w:basedOn w:val="Fontepargpadro"/>
    <w:link w:val="Assinatura"/>
    <w:uiPriority w:val="99"/>
    <w:rsid w:val="0058783C"/>
    <w:rPr>
      <w:rFonts w:cs="Arial"/>
      <w:b/>
    </w:rPr>
  </w:style>
  <w:style w:type="paragraph" w:styleId="Data">
    <w:name w:val="Date"/>
    <w:basedOn w:val="Normal"/>
    <w:next w:val="Normal"/>
    <w:link w:val="DataChar"/>
    <w:uiPriority w:val="99"/>
    <w:rsid w:val="009B2EC5"/>
    <w:pPr>
      <w:adjustRightInd w:val="0"/>
      <w:spacing w:before="120"/>
      <w:ind w:right="-1"/>
      <w:jc w:val="center"/>
    </w:pPr>
    <w:rPr>
      <w:rFonts w:eastAsia="SimSun" w:cs="Arial"/>
      <w:bCs/>
      <w:iCs/>
      <w:lang w:eastAsia="ar-SA"/>
    </w:rPr>
  </w:style>
  <w:style w:type="character" w:customStyle="1" w:styleId="DataChar">
    <w:name w:val="Data Char"/>
    <w:basedOn w:val="Fontepargpadro"/>
    <w:link w:val="Data"/>
    <w:uiPriority w:val="99"/>
    <w:rsid w:val="009B2EC5"/>
    <w:rPr>
      <w:rFonts w:ascii="Arial" w:eastAsia="SimSun" w:hAnsi="Arial" w:cs="Arial"/>
      <w:bCs/>
      <w:iCs/>
      <w:sz w:val="24"/>
      <w:szCs w:val="24"/>
      <w:lang w:eastAsia="ar-SA"/>
    </w:rPr>
  </w:style>
  <w:style w:type="paragraph" w:customStyle="1" w:styleId="SubtituloManif">
    <w:name w:val="Subtitulo Manif"/>
    <w:basedOn w:val="Normal"/>
    <w:next w:val="Corpodetexto"/>
    <w:link w:val="SubtituloManifChar"/>
    <w:uiPriority w:val="1"/>
    <w:qFormat/>
    <w:rsid w:val="009B2EC5"/>
    <w:pPr>
      <w:ind w:left="142" w:right="708"/>
      <w:jc w:val="both"/>
    </w:pPr>
    <w:rPr>
      <w:rFonts w:eastAsia="SimSun"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qFormat/>
    <w:rsid w:val="0072243F"/>
  </w:style>
  <w:style w:type="character" w:customStyle="1" w:styleId="CorpodetextoChar">
    <w:name w:val="Corpo de texto Char"/>
    <w:basedOn w:val="Fontepargpadro"/>
    <w:link w:val="Corpodetexto"/>
    <w:rsid w:val="0072243F"/>
  </w:style>
  <w:style w:type="character" w:customStyle="1" w:styleId="SubtituloManifChar">
    <w:name w:val="Subtitulo Manif Char"/>
    <w:basedOn w:val="Fontepargpadro"/>
    <w:link w:val="SubtituloManif"/>
    <w:uiPriority w:val="1"/>
    <w:rsid w:val="00707954"/>
    <w:rPr>
      <w:rFonts w:eastAsia="SimSun"/>
      <w:szCs w:val="20"/>
      <w:u w:val="single"/>
      <w:lang w:eastAsia="ar-SA"/>
    </w:rPr>
  </w:style>
  <w:style w:type="paragraph" w:customStyle="1" w:styleId="Itemizao">
    <w:name w:val="Itemização"/>
    <w:uiPriority w:val="2"/>
    <w:qFormat/>
    <w:rsid w:val="00C96F25"/>
    <w:pPr>
      <w:numPr>
        <w:numId w:val="1"/>
      </w:numPr>
      <w:ind w:left="426" w:hanging="284"/>
      <w:jc w:val="both"/>
    </w:pPr>
    <w:rPr>
      <w:rFonts w:eastAsia="Times New Roman"/>
      <w:szCs w:val="20"/>
    </w:rPr>
  </w:style>
  <w:style w:type="table" w:styleId="Tabelacomgrade">
    <w:name w:val="Table Grid"/>
    <w:basedOn w:val="Tabelanormal"/>
    <w:uiPriority w:val="39"/>
    <w:rsid w:val="00A9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Manifestacao">
    <w:name w:val="Item Manifestacao"/>
    <w:next w:val="Corpodetexto"/>
    <w:link w:val="ItemManifestacaoChar"/>
    <w:uiPriority w:val="1"/>
    <w:qFormat/>
    <w:rsid w:val="00C96F25"/>
    <w:pPr>
      <w:numPr>
        <w:numId w:val="3"/>
      </w:numPr>
      <w:tabs>
        <w:tab w:val="left" w:pos="567"/>
      </w:tabs>
      <w:spacing w:line="240" w:lineRule="auto"/>
      <w:ind w:left="142" w:right="198" w:firstLine="0"/>
      <w:outlineLvl w:val="1"/>
    </w:pPr>
    <w:rPr>
      <w:rFonts w:eastAsia="Times New Roman" w:cs="Times New Roman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8CA"/>
    <w:rPr>
      <w:rFonts w:ascii="Tahoma" w:hAnsi="Tahoma" w:cs="Tahoma"/>
      <w:sz w:val="16"/>
      <w:szCs w:val="16"/>
    </w:rPr>
  </w:style>
  <w:style w:type="character" w:customStyle="1" w:styleId="ItemManifestacaoChar">
    <w:name w:val="Item Manifestacao Char"/>
    <w:basedOn w:val="CorpodetextoChar"/>
    <w:link w:val="ItemManifestacao"/>
    <w:uiPriority w:val="1"/>
    <w:rsid w:val="00C96F25"/>
    <w:rPr>
      <w:rFonts w:eastAsia="Times New Roman" w:cs="Times New Roman"/>
      <w:b/>
      <w:szCs w:val="20"/>
    </w:rPr>
  </w:style>
  <w:style w:type="paragraph" w:customStyle="1" w:styleId="Concluses">
    <w:name w:val="Conclusões"/>
    <w:basedOn w:val="Ttulo2"/>
    <w:link w:val="ConclusesChar"/>
    <w:uiPriority w:val="1"/>
    <w:qFormat/>
    <w:rsid w:val="00C96F25"/>
    <w:rPr>
      <w:b w:val="0"/>
    </w:rPr>
  </w:style>
  <w:style w:type="character" w:customStyle="1" w:styleId="ConclusesChar">
    <w:name w:val="Conclusões Char"/>
    <w:basedOn w:val="Ttulo2Char"/>
    <w:link w:val="Concluses"/>
    <w:uiPriority w:val="1"/>
    <w:rsid w:val="00C96F25"/>
    <w:rPr>
      <w:rFonts w:eastAsia="Times New Roman" w:cs="Arial"/>
      <w:b w:val="0"/>
      <w:bCs/>
      <w:szCs w:val="20"/>
    </w:rPr>
  </w:style>
  <w:style w:type="paragraph" w:customStyle="1" w:styleId="Logo">
    <w:name w:val="Logo"/>
    <w:link w:val="LogoChar"/>
    <w:uiPriority w:val="99"/>
    <w:rsid w:val="0058783C"/>
    <w:pPr>
      <w:spacing w:before="0" w:line="240" w:lineRule="auto"/>
      <w:ind w:left="-68"/>
      <w:jc w:val="center"/>
    </w:pPr>
    <w:rPr>
      <w:rFonts w:ascii="Times New Roman" w:hAnsi="Times New Roman"/>
      <w:b/>
      <w:bCs/>
      <w:spacing w:val="4"/>
      <w:sz w:val="17"/>
      <w:szCs w:val="17"/>
    </w:rPr>
  </w:style>
  <w:style w:type="paragraph" w:customStyle="1" w:styleId="NProcesso">
    <w:name w:val="N_Processo"/>
    <w:uiPriority w:val="99"/>
    <w:rsid w:val="008E1ABE"/>
    <w:pPr>
      <w:framePr w:w="2431" w:h="433" w:hSpace="141" w:wrap="auto" w:vAnchor="text" w:hAnchor="page" w:x="9067" w:y="-1041"/>
      <w:spacing w:before="0" w:line="240" w:lineRule="auto"/>
      <w:ind w:right="136"/>
      <w:contextualSpacing/>
      <w:jc w:val="right"/>
    </w:pPr>
    <w:rPr>
      <w:rFonts w:cs="Arial"/>
      <w:bCs/>
    </w:rPr>
  </w:style>
  <w:style w:type="paragraph" w:styleId="Citao">
    <w:name w:val="Quote"/>
    <w:link w:val="CitaoChar"/>
    <w:uiPriority w:val="1"/>
    <w:qFormat/>
    <w:rsid w:val="00A3339E"/>
    <w:pPr>
      <w:spacing w:line="240" w:lineRule="auto"/>
      <w:ind w:left="2268"/>
      <w:jc w:val="both"/>
    </w:pPr>
    <w:rPr>
      <w:rFonts w:eastAsia="Times New Roman"/>
      <w:sz w:val="22"/>
      <w:szCs w:val="20"/>
    </w:rPr>
  </w:style>
  <w:style w:type="character" w:customStyle="1" w:styleId="CitaoChar">
    <w:name w:val="Citação Char"/>
    <w:basedOn w:val="Fontepargpadro"/>
    <w:link w:val="Citao"/>
    <w:uiPriority w:val="1"/>
    <w:rsid w:val="00A3339E"/>
    <w:rPr>
      <w:rFonts w:eastAsia="Times New Roman"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rsid w:val="00FC264C"/>
    <w:pPr>
      <w:widowControl w:val="0"/>
      <w:spacing w:before="120"/>
      <w:jc w:val="center"/>
    </w:pPr>
    <w:rPr>
      <w:rFonts w:eastAsia="Times New Roman" w:cs="Arial"/>
      <w:b/>
      <w:bCs/>
      <w:iCs/>
    </w:rPr>
  </w:style>
  <w:style w:type="character" w:customStyle="1" w:styleId="TtuloChar">
    <w:name w:val="Título Char"/>
    <w:basedOn w:val="Fontepargpadro"/>
    <w:link w:val="Ttulo"/>
    <w:uiPriority w:val="10"/>
    <w:rsid w:val="00FC264C"/>
    <w:rPr>
      <w:rFonts w:eastAsia="Times New Roman" w:cs="Arial"/>
      <w:b/>
      <w:bCs/>
      <w:iCs/>
    </w:rPr>
  </w:style>
  <w:style w:type="paragraph" w:customStyle="1" w:styleId="Tabela-Ttulo">
    <w:name w:val="Tabela-Título"/>
    <w:uiPriority w:val="2"/>
    <w:qFormat/>
    <w:rsid w:val="00FC264C"/>
    <w:pPr>
      <w:spacing w:before="0" w:line="240" w:lineRule="auto"/>
      <w:jc w:val="center"/>
    </w:pPr>
    <w:rPr>
      <w:rFonts w:eastAsia="Times New Roman"/>
      <w:b/>
      <w:sz w:val="18"/>
      <w:szCs w:val="20"/>
    </w:rPr>
  </w:style>
  <w:style w:type="paragraph" w:customStyle="1" w:styleId="Tabela-texto">
    <w:name w:val="Tabela-texto"/>
    <w:basedOn w:val="Tabela-Ttulo"/>
    <w:uiPriority w:val="2"/>
    <w:qFormat/>
    <w:rsid w:val="00FC264C"/>
    <w:rPr>
      <w:b w:val="0"/>
    </w:rPr>
  </w:style>
  <w:style w:type="paragraph" w:styleId="Legenda">
    <w:name w:val="caption"/>
    <w:uiPriority w:val="35"/>
    <w:unhideWhenUsed/>
    <w:qFormat/>
    <w:rsid w:val="00702B16"/>
    <w:pPr>
      <w:spacing w:before="0" w:line="240" w:lineRule="auto"/>
    </w:pPr>
    <w:rPr>
      <w:bCs/>
      <w:sz w:val="20"/>
      <w:szCs w:val="18"/>
    </w:rPr>
  </w:style>
  <w:style w:type="paragraph" w:customStyle="1" w:styleId="Fonte">
    <w:name w:val="Fonte"/>
    <w:next w:val="Corpodetexto"/>
    <w:rsid w:val="00702B16"/>
    <w:pPr>
      <w:spacing w:before="0" w:line="240" w:lineRule="auto"/>
      <w:jc w:val="both"/>
    </w:pPr>
    <w:rPr>
      <w:rFonts w:eastAsia="Times New Roman"/>
      <w:sz w:val="16"/>
      <w:szCs w:val="20"/>
    </w:rPr>
  </w:style>
  <w:style w:type="paragraph" w:customStyle="1" w:styleId="Figura">
    <w:name w:val="Figura"/>
    <w:next w:val="Fonte"/>
    <w:rsid w:val="00702B16"/>
    <w:pPr>
      <w:spacing w:before="0" w:line="240" w:lineRule="auto"/>
      <w:jc w:val="center"/>
    </w:pPr>
    <w:rPr>
      <w:rFonts w:eastAsia="Times New Roman"/>
      <w:noProof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11"/>
    <w:rsid w:val="008E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E1AB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auxiliar1">
    <w:name w:val="auxiliar1"/>
    <w:basedOn w:val="Logo"/>
    <w:link w:val="auxiliar1Char"/>
    <w:rsid w:val="009121BE"/>
    <w:pPr>
      <w:ind w:left="0" w:right="357" w:firstLine="142"/>
      <w:jc w:val="left"/>
    </w:pPr>
    <w:rPr>
      <w:b w:val="0"/>
      <w:noProof/>
      <w:sz w:val="24"/>
      <w:szCs w:val="24"/>
    </w:rPr>
  </w:style>
  <w:style w:type="paragraph" w:customStyle="1" w:styleId="auxiliar2">
    <w:name w:val="auxiliar2"/>
    <w:basedOn w:val="Logo"/>
    <w:link w:val="auxiliar2Char"/>
    <w:rsid w:val="009121BE"/>
    <w:rPr>
      <w:sz w:val="6"/>
    </w:rPr>
  </w:style>
  <w:style w:type="character" w:customStyle="1" w:styleId="LogoChar">
    <w:name w:val="Logo Char"/>
    <w:basedOn w:val="Fontepargpadro"/>
    <w:link w:val="Logo"/>
    <w:uiPriority w:val="99"/>
    <w:rsid w:val="009121BE"/>
    <w:rPr>
      <w:rFonts w:ascii="Times New Roman" w:hAnsi="Times New Roman"/>
      <w:b/>
      <w:bCs/>
      <w:spacing w:val="4"/>
      <w:sz w:val="17"/>
      <w:szCs w:val="17"/>
    </w:rPr>
  </w:style>
  <w:style w:type="character" w:customStyle="1" w:styleId="auxiliar1Char">
    <w:name w:val="auxiliar1 Char"/>
    <w:basedOn w:val="LogoChar"/>
    <w:link w:val="auxiliar1"/>
    <w:rsid w:val="009121BE"/>
    <w:rPr>
      <w:rFonts w:ascii="Times New Roman" w:hAnsi="Times New Roman"/>
      <w:b w:val="0"/>
      <w:bCs/>
      <w:noProof/>
      <w:spacing w:val="4"/>
      <w:sz w:val="17"/>
      <w:szCs w:val="17"/>
    </w:rPr>
  </w:style>
  <w:style w:type="paragraph" w:customStyle="1" w:styleId="auxiliar3">
    <w:name w:val="auxiliar3"/>
    <w:basedOn w:val="Rodap"/>
    <w:link w:val="auxiliar3Char"/>
    <w:rsid w:val="009121BE"/>
    <w:pPr>
      <w:ind w:left="0"/>
    </w:pPr>
    <w:rPr>
      <w:sz w:val="2"/>
      <w:szCs w:val="2"/>
    </w:rPr>
  </w:style>
  <w:style w:type="character" w:customStyle="1" w:styleId="auxiliar2Char">
    <w:name w:val="auxiliar2 Char"/>
    <w:basedOn w:val="LogoChar"/>
    <w:link w:val="auxiliar2"/>
    <w:rsid w:val="009121BE"/>
    <w:rPr>
      <w:rFonts w:ascii="Times New Roman" w:hAnsi="Times New Roman"/>
      <w:b/>
      <w:bCs/>
      <w:spacing w:val="4"/>
      <w:sz w:val="6"/>
      <w:szCs w:val="17"/>
    </w:rPr>
  </w:style>
  <w:style w:type="character" w:customStyle="1" w:styleId="auxiliar3Char">
    <w:name w:val="auxiliar3 Char"/>
    <w:basedOn w:val="RodapChar"/>
    <w:link w:val="auxiliar3"/>
    <w:rsid w:val="009121BE"/>
    <w:rPr>
      <w:rFonts w:ascii="Times New Roman" w:hAnsi="Times New Roman"/>
      <w:sz w:val="2"/>
      <w:szCs w:val="2"/>
    </w:rPr>
  </w:style>
  <w:style w:type="paragraph" w:customStyle="1" w:styleId="Descrio">
    <w:name w:val="Descrição"/>
    <w:basedOn w:val="Cabealho"/>
    <w:link w:val="DescrioChar"/>
    <w:qFormat/>
    <w:rsid w:val="00F936AA"/>
    <w:pPr>
      <w:ind w:left="0" w:right="0"/>
      <w:jc w:val="center"/>
    </w:pPr>
  </w:style>
  <w:style w:type="character" w:customStyle="1" w:styleId="DescrioChar">
    <w:name w:val="Descrição Char"/>
    <w:basedOn w:val="CabealhoChar"/>
    <w:link w:val="Descrio"/>
    <w:rsid w:val="00F936AA"/>
    <w:rPr>
      <w:rFonts w:eastAsia="Times New Roman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121FA5"/>
    <w:pPr>
      <w:spacing w:before="0" w:line="240" w:lineRule="auto"/>
      <w:ind w:left="720"/>
      <w:contextualSpacing/>
    </w:pPr>
    <w:rPr>
      <w:rFonts w:eastAsia="Times New Roman" w:cs="Tahoma"/>
      <w:sz w:val="20"/>
    </w:rPr>
  </w:style>
  <w:style w:type="character" w:styleId="Hyperlink">
    <w:name w:val="Hyperlink"/>
    <w:uiPriority w:val="99"/>
    <w:rsid w:val="00121FA5"/>
    <w:rPr>
      <w:color w:val="000080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121FA5"/>
    <w:pPr>
      <w:keepLines/>
      <w:numPr>
        <w:numId w:val="0"/>
      </w:numPr>
      <w:spacing w:before="480" w:after="120" w:line="276" w:lineRule="auto"/>
      <w:ind w:right="-15"/>
      <w:contextualSpacing w:val="0"/>
      <w:jc w:val="both"/>
    </w:pPr>
    <w:rPr>
      <w:rFonts w:eastAsiaTheme="majorEastAsia" w:cs="Times New Roman"/>
      <w:caps w:val="0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1FA5"/>
    <w:rPr>
      <w:rFonts w:eastAsiaTheme="majorEastAsia" w:cs="Times New Roman"/>
      <w:b/>
      <w:bCs/>
      <w:caps w:val="0"/>
      <w:color w:val="000000"/>
      <w:sz w:val="20"/>
      <w:szCs w:val="20"/>
    </w:rPr>
  </w:style>
  <w:style w:type="paragraph" w:customStyle="1" w:styleId="PADRO">
    <w:name w:val="PADRÃO"/>
    <w:rsid w:val="00121FA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PargrafodaListaChar">
    <w:name w:val="Parágrafo da Lista Char"/>
    <w:link w:val="PargrafodaLista"/>
    <w:uiPriority w:val="34"/>
    <w:rsid w:val="00121FA5"/>
    <w:rPr>
      <w:rFonts w:eastAsia="Times New Roman" w:cs="Tahoma"/>
      <w:sz w:val="20"/>
    </w:rPr>
  </w:style>
  <w:style w:type="numbering" w:customStyle="1" w:styleId="Estilo10">
    <w:name w:val="Estilo10"/>
    <w:uiPriority w:val="99"/>
    <w:rsid w:val="00121FA5"/>
    <w:pPr>
      <w:numPr>
        <w:numId w:val="4"/>
      </w:numPr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2C1B"/>
    <w:pPr>
      <w:widowControl w:val="0"/>
      <w:autoSpaceDE w:val="0"/>
      <w:autoSpaceDN w:val="0"/>
      <w:spacing w:before="0" w:after="120" w:line="240" w:lineRule="auto"/>
      <w:ind w:left="283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C2C1B"/>
    <w:rPr>
      <w:rFonts w:ascii="Times New Roman" w:hAnsi="Times New Roman" w:cs="Times New Roman"/>
    </w:rPr>
  </w:style>
  <w:style w:type="paragraph" w:customStyle="1" w:styleId="04partenormativa">
    <w:name w:val="04partenormativa"/>
    <w:basedOn w:val="Normal"/>
    <w:rsid w:val="00AC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C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E473BE"/>
    <w:pPr>
      <w:spacing w:before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473BE"/>
    <w:rPr>
      <w:rFonts w:ascii="Courier New" w:eastAsia="Times New Roman" w:hAnsi="Courier New" w:cs="Times New Roman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2AF3"/>
    <w:rPr>
      <w:color w:val="605E5C"/>
      <w:shd w:val="clear" w:color="auto" w:fill="E1DFDD"/>
    </w:rPr>
  </w:style>
  <w:style w:type="character" w:customStyle="1" w:styleId="citation-18">
    <w:name w:val="citation-18"/>
    <w:basedOn w:val="Fontepargpadro"/>
    <w:rsid w:val="00781961"/>
  </w:style>
  <w:style w:type="character" w:customStyle="1" w:styleId="citation-17">
    <w:name w:val="citation-17"/>
    <w:basedOn w:val="Fontepargpadro"/>
    <w:rsid w:val="00781961"/>
  </w:style>
  <w:style w:type="character" w:customStyle="1" w:styleId="citation-16">
    <w:name w:val="citation-16"/>
    <w:basedOn w:val="Fontepargpadro"/>
    <w:rsid w:val="00781961"/>
  </w:style>
  <w:style w:type="character" w:customStyle="1" w:styleId="citation-15">
    <w:name w:val="citation-15"/>
    <w:basedOn w:val="Fontepargpadro"/>
    <w:rsid w:val="00781961"/>
  </w:style>
  <w:style w:type="character" w:customStyle="1" w:styleId="citation-14">
    <w:name w:val="citation-14"/>
    <w:basedOn w:val="Fontepargpadro"/>
    <w:rsid w:val="0078196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336D"/>
    <w:pPr>
      <w:spacing w:before="0" w:line="240" w:lineRule="auto"/>
    </w:pPr>
    <w:rPr>
      <w:rFonts w:asciiTheme="minorHAnsi" w:eastAsia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336D"/>
    <w:rPr>
      <w:rFonts w:asciiTheme="minorHAnsi" w:eastAsiaTheme="minorHAnsi" w:hAnsiTheme="minorHAnsi"/>
      <w:kern w:val="2"/>
      <w:sz w:val="20"/>
      <w:szCs w:val="20"/>
      <w:lang w:eastAsia="en-US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3D33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549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66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495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69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954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ario.tcees.tc.br/Noticia/BaixarDocumento?idDocumento=4369627" TargetMode="External"/><Relationship Id="rId2" Type="http://schemas.openxmlformats.org/officeDocument/2006/relationships/hyperlink" Target="https://www4.tce.sp.gov.br/licitacao/900232025" TargetMode="External"/><Relationship Id="rId1" Type="http://schemas.openxmlformats.org/officeDocument/2006/relationships/hyperlink" Target="https://www.gov.br/gestao/pt-br/acesso-a-informacao/licitacoes-e-contratos/licitacoes-e-contratacoes-diretas/Colaboragov/licitacoes/2024/pregao-eletronico-no-90002-2024-diretoria-de-administracao-e-logistica-uasg-17060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23BD-3E5E-436E-9D9C-1F8A27C0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T.C.M.</Company>
  <LinksUpToDate>false</LinksUpToDate>
  <CharactersWithSpaces>14525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Rodrigues de Castro</dc:creator>
  <cp:keywords/>
  <dc:description/>
  <cp:lastModifiedBy>Mauricio Bula Trevisani</cp:lastModifiedBy>
  <cp:revision>2</cp:revision>
  <cp:lastPrinted>2006-04-18T14:36:00Z</cp:lastPrinted>
  <dcterms:created xsi:type="dcterms:W3CDTF">2025-07-14T20:36:00Z</dcterms:created>
  <dcterms:modified xsi:type="dcterms:W3CDTF">2025-07-14T20:36:00Z</dcterms:modified>
</cp:coreProperties>
</file>